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7C865" w14:textId="77777777" w:rsidR="00E30387" w:rsidRDefault="000004A9" w:rsidP="00E30387">
      <w:pPr>
        <w:spacing w:after="12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Document sur le transfert</w:t>
      </w:r>
    </w:p>
    <w:p w14:paraId="11E70400" w14:textId="2659D334" w:rsidR="000754AD" w:rsidRDefault="000754AD" w:rsidP="003F6A20">
      <w:pPr>
        <w:spacing w:after="120" w:line="240" w:lineRule="auto"/>
        <w:jc w:val="center"/>
        <w:rPr>
          <w:rFonts w:ascii="Times New Roman" w:hAnsi="Times New Roman" w:cs="Times New Roman"/>
          <w:sz w:val="28"/>
          <w:szCs w:val="28"/>
        </w:rPr>
      </w:pPr>
      <w:r w:rsidRPr="003E4017">
        <w:rPr>
          <w:rFonts w:ascii="Times New Roman" w:hAnsi="Times New Roman" w:cs="Times New Roman"/>
          <w:b/>
          <w:sz w:val="28"/>
          <w:szCs w:val="28"/>
        </w:rPr>
        <w:t>FAVORISER L</w:t>
      </w:r>
      <w:r>
        <w:rPr>
          <w:rFonts w:ascii="Times New Roman" w:hAnsi="Times New Roman" w:cs="Times New Roman"/>
          <w:b/>
          <w:sz w:val="28"/>
          <w:szCs w:val="28"/>
        </w:rPr>
        <w:t xml:space="preserve">E TRANSFERT DES APPRENTISSAGES </w:t>
      </w:r>
      <w:r w:rsidRPr="00EA163C">
        <w:rPr>
          <w:rFonts w:ascii="Times New Roman" w:hAnsi="Times New Roman" w:cs="Times New Roman"/>
          <w:sz w:val="28"/>
          <w:szCs w:val="28"/>
        </w:rPr>
        <w:t xml:space="preserve">(version </w:t>
      </w:r>
      <w:r>
        <w:rPr>
          <w:rFonts w:ascii="Times New Roman" w:hAnsi="Times New Roman" w:cs="Times New Roman"/>
          <w:sz w:val="28"/>
          <w:szCs w:val="28"/>
        </w:rPr>
        <w:t>longue</w:t>
      </w:r>
      <w:r w:rsidRPr="00EA163C">
        <w:rPr>
          <w:rFonts w:ascii="Times New Roman" w:hAnsi="Times New Roman" w:cs="Times New Roman"/>
          <w:sz w:val="28"/>
          <w:szCs w:val="28"/>
        </w:rPr>
        <w:t>)</w:t>
      </w:r>
    </w:p>
    <w:p w14:paraId="4A3EBB3E" w14:textId="77777777" w:rsidR="00346BB0" w:rsidRDefault="00346BB0" w:rsidP="00346BB0">
      <w:pPr>
        <w:spacing w:after="0" w:line="240" w:lineRule="auto"/>
        <w:jc w:val="center"/>
        <w:rPr>
          <w:rFonts w:ascii="Times New Roman" w:hAnsi="Times New Roman" w:cs="Times New Roman"/>
          <w:b/>
          <w:sz w:val="24"/>
          <w:szCs w:val="28"/>
        </w:rPr>
      </w:pPr>
      <w:r>
        <w:rPr>
          <w:rFonts w:ascii="Times New Roman" w:hAnsi="Times New Roman" w:cs="Times New Roman"/>
          <w:sz w:val="24"/>
          <w:szCs w:val="28"/>
        </w:rPr>
        <w:t>François Guillemette, Katia Renaud et Céline Leblanc</w:t>
      </w:r>
    </w:p>
    <w:p w14:paraId="37EC513A" w14:textId="77777777" w:rsidR="000026B5" w:rsidRDefault="000026B5" w:rsidP="00E30387">
      <w:pPr>
        <w:spacing w:after="120" w:line="240" w:lineRule="auto"/>
        <w:rPr>
          <w:rFonts w:ascii="Times New Roman" w:hAnsi="Times New Roman" w:cs="Times New Roman"/>
          <w:b/>
          <w:sz w:val="28"/>
          <w:szCs w:val="28"/>
        </w:rPr>
      </w:pPr>
    </w:p>
    <w:p w14:paraId="6D16BD49" w14:textId="22F013C6" w:rsidR="000754AD" w:rsidRDefault="000754AD" w:rsidP="00E303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w:t>
      </w:r>
      <w:r w:rsidRPr="00013CD6">
        <w:rPr>
          <w:rFonts w:ascii="Times New Roman" w:hAnsi="Times New Roman" w:cs="Times New Roman"/>
          <w:sz w:val="24"/>
          <w:szCs w:val="24"/>
        </w:rPr>
        <w:t>e transfert</w:t>
      </w:r>
      <w:r>
        <w:rPr>
          <w:rFonts w:ascii="Times New Roman" w:hAnsi="Times New Roman" w:cs="Times New Roman"/>
          <w:sz w:val="24"/>
          <w:szCs w:val="24"/>
        </w:rPr>
        <w:t xml:space="preserve"> des apprentissages est</w:t>
      </w:r>
      <w:r w:rsidRPr="00013CD6">
        <w:rPr>
          <w:rFonts w:ascii="Times New Roman" w:hAnsi="Times New Roman" w:cs="Times New Roman"/>
          <w:sz w:val="24"/>
          <w:szCs w:val="24"/>
        </w:rPr>
        <w:t xml:space="preserve"> un processus qui consiste à </w:t>
      </w:r>
      <w:r>
        <w:rPr>
          <w:rFonts w:ascii="Times New Roman" w:hAnsi="Times New Roman" w:cs="Times New Roman"/>
          <w:sz w:val="24"/>
          <w:szCs w:val="24"/>
        </w:rPr>
        <w:t>partir d’</w:t>
      </w:r>
      <w:r w:rsidRPr="00013CD6">
        <w:rPr>
          <w:rFonts w:ascii="Times New Roman" w:hAnsi="Times New Roman" w:cs="Times New Roman"/>
          <w:sz w:val="24"/>
          <w:szCs w:val="24"/>
        </w:rPr>
        <w:t>un</w:t>
      </w:r>
      <w:r>
        <w:rPr>
          <w:rFonts w:ascii="Times New Roman" w:hAnsi="Times New Roman" w:cs="Times New Roman"/>
          <w:sz w:val="24"/>
          <w:szCs w:val="24"/>
        </w:rPr>
        <w:t xml:space="preserve"> apprentissage d</w:t>
      </w:r>
      <w:r w:rsidRPr="00013CD6">
        <w:rPr>
          <w:rFonts w:ascii="Times New Roman" w:hAnsi="Times New Roman" w:cs="Times New Roman"/>
          <w:sz w:val="24"/>
          <w:szCs w:val="24"/>
        </w:rPr>
        <w:t xml:space="preserve">éveloppé dans un contexte particulier (la situation d’apprentissage source) </w:t>
      </w:r>
      <w:r>
        <w:rPr>
          <w:rFonts w:ascii="Times New Roman" w:hAnsi="Times New Roman" w:cs="Times New Roman"/>
          <w:sz w:val="24"/>
          <w:szCs w:val="24"/>
        </w:rPr>
        <w:t xml:space="preserve">pour l’actualiser </w:t>
      </w:r>
      <w:r w:rsidRPr="00013CD6">
        <w:rPr>
          <w:rFonts w:ascii="Times New Roman" w:hAnsi="Times New Roman" w:cs="Times New Roman"/>
          <w:sz w:val="24"/>
          <w:szCs w:val="24"/>
        </w:rPr>
        <w:t xml:space="preserve">dans un nouveau contexte (la situation d’apprentissage cible) </w:t>
      </w:r>
      <w:r>
        <w:rPr>
          <w:rFonts w:ascii="Times New Roman" w:hAnsi="Times New Roman" w:cs="Times New Roman"/>
          <w:sz w:val="24"/>
          <w:szCs w:val="24"/>
        </w:rPr>
        <w:t xml:space="preserve">afin de continuer à </w:t>
      </w:r>
      <w:r w:rsidRPr="00013CD6">
        <w:rPr>
          <w:rFonts w:ascii="Times New Roman" w:hAnsi="Times New Roman" w:cs="Times New Roman"/>
          <w:sz w:val="24"/>
          <w:szCs w:val="24"/>
        </w:rPr>
        <w:t>développer</w:t>
      </w:r>
      <w:r>
        <w:rPr>
          <w:rFonts w:ascii="Times New Roman" w:hAnsi="Times New Roman" w:cs="Times New Roman"/>
          <w:sz w:val="24"/>
          <w:szCs w:val="24"/>
        </w:rPr>
        <w:t xml:space="preserve"> cet apprentissage (Presseau, 2003)</w:t>
      </w:r>
      <w:r w:rsidRPr="00013CD6">
        <w:rPr>
          <w:rFonts w:ascii="Times New Roman" w:hAnsi="Times New Roman" w:cs="Times New Roman"/>
          <w:sz w:val="24"/>
          <w:szCs w:val="24"/>
        </w:rPr>
        <w:t xml:space="preserve">. </w:t>
      </w:r>
    </w:p>
    <w:p w14:paraId="6F335B62" w14:textId="2045B13E" w:rsidR="008C3750" w:rsidRDefault="008C3750" w:rsidP="000754AD">
      <w:pPr>
        <w:spacing w:after="0" w:line="240" w:lineRule="auto"/>
        <w:jc w:val="both"/>
        <w:rPr>
          <w:rFonts w:ascii="Times New Roman" w:hAnsi="Times New Roman" w:cs="Times New Roman"/>
          <w:sz w:val="24"/>
          <w:szCs w:val="24"/>
        </w:rPr>
      </w:pPr>
      <w:bookmarkStart w:id="0" w:name="_Hlk137191484"/>
    </w:p>
    <w:tbl>
      <w:tblPr>
        <w:tblStyle w:val="Grilledutableau"/>
        <w:tblW w:w="9918" w:type="dxa"/>
        <w:tblCellMar>
          <w:top w:w="113" w:type="dxa"/>
          <w:bottom w:w="113" w:type="dxa"/>
        </w:tblCellMar>
        <w:tblLook w:val="04A0" w:firstRow="1" w:lastRow="0" w:firstColumn="1" w:lastColumn="0" w:noHBand="0" w:noVBand="1"/>
      </w:tblPr>
      <w:tblGrid>
        <w:gridCol w:w="9918"/>
      </w:tblGrid>
      <w:tr w:rsidR="008C3750" w14:paraId="253ADE50" w14:textId="77777777" w:rsidTr="000026B5">
        <w:tc>
          <w:tcPr>
            <w:tcW w:w="9918" w:type="dxa"/>
          </w:tcPr>
          <w:p w14:paraId="4EA18367" w14:textId="6CF286A9" w:rsidR="008C3750" w:rsidRDefault="008C3750" w:rsidP="000754AD">
            <w:pPr>
              <w:jc w:val="both"/>
              <w:rPr>
                <w:rFonts w:ascii="Times New Roman" w:hAnsi="Times New Roman" w:cs="Times New Roman"/>
                <w:sz w:val="24"/>
                <w:szCs w:val="24"/>
              </w:rPr>
            </w:pPr>
            <w:r>
              <w:rPr>
                <w:rFonts w:ascii="Times New Roman" w:hAnsi="Times New Roman" w:cs="Times New Roman"/>
                <w:sz w:val="24"/>
                <w:szCs w:val="24"/>
              </w:rPr>
              <w:t xml:space="preserve">« Généralement, on parle de transfert lorsqu’une personne réutilise dans un nouveau contexte (tâche cible), en l’adaptant, l’apprentissage fait dans un </w:t>
            </w:r>
            <w:r w:rsidR="00E30387">
              <w:rPr>
                <w:rFonts w:ascii="Times New Roman" w:hAnsi="Times New Roman" w:cs="Times New Roman"/>
                <w:sz w:val="24"/>
                <w:szCs w:val="24"/>
              </w:rPr>
              <w:t>premier contexte (tâche source), que ce soit pour faire de nouveaux apprentissages ou pour réaliser une tâche inédite. » (Presseau</w:t>
            </w:r>
            <w:r w:rsidR="000026B5">
              <w:rPr>
                <w:rFonts w:ascii="Times New Roman" w:hAnsi="Times New Roman" w:cs="Times New Roman"/>
                <w:sz w:val="24"/>
                <w:szCs w:val="24"/>
              </w:rPr>
              <w:t xml:space="preserve"> et al.</w:t>
            </w:r>
            <w:r w:rsidR="00E30387">
              <w:rPr>
                <w:rFonts w:ascii="Times New Roman" w:hAnsi="Times New Roman" w:cs="Times New Roman"/>
                <w:sz w:val="24"/>
                <w:szCs w:val="24"/>
              </w:rPr>
              <w:t xml:space="preserve">, 2023, p.21). </w:t>
            </w:r>
          </w:p>
        </w:tc>
      </w:tr>
    </w:tbl>
    <w:p w14:paraId="2CAD6E11" w14:textId="77777777" w:rsidR="008C3750" w:rsidRDefault="008C3750" w:rsidP="000754AD">
      <w:pPr>
        <w:spacing w:after="0" w:line="240" w:lineRule="auto"/>
        <w:jc w:val="both"/>
        <w:rPr>
          <w:rFonts w:ascii="Times New Roman" w:hAnsi="Times New Roman" w:cs="Times New Roman"/>
          <w:sz w:val="24"/>
          <w:szCs w:val="24"/>
        </w:rPr>
      </w:pPr>
    </w:p>
    <w:bookmarkEnd w:id="0"/>
    <w:p w14:paraId="73EC7F3B" w14:textId="77777777" w:rsidR="000754AD" w:rsidRDefault="000754AD" w:rsidP="000754AD">
      <w:pPr>
        <w:spacing w:after="0" w:line="240" w:lineRule="auto"/>
        <w:jc w:val="both"/>
        <w:rPr>
          <w:rFonts w:ascii="Times New Roman" w:hAnsi="Times New Roman" w:cs="Times New Roman"/>
          <w:b/>
          <w:bCs/>
          <w:sz w:val="24"/>
          <w:szCs w:val="24"/>
        </w:rPr>
      </w:pPr>
      <w:r w:rsidRPr="00013CD6">
        <w:rPr>
          <w:rFonts w:ascii="Times New Roman" w:hAnsi="Times New Roman" w:cs="Times New Roman"/>
          <w:sz w:val="24"/>
          <w:szCs w:val="24"/>
        </w:rPr>
        <w:t xml:space="preserve">Selon Tardif et Meirieu (1996), l’enseignant favorise le transfert par une séquence d’interventions en trois </w:t>
      </w:r>
      <w:r>
        <w:rPr>
          <w:rFonts w:ascii="Times New Roman" w:hAnsi="Times New Roman" w:cs="Times New Roman"/>
          <w:sz w:val="24"/>
          <w:szCs w:val="24"/>
        </w:rPr>
        <w:t>moments</w:t>
      </w:r>
      <w:r w:rsidRPr="00013CD6">
        <w:rPr>
          <w:rFonts w:ascii="Times New Roman" w:hAnsi="Times New Roman" w:cs="Times New Roman"/>
          <w:sz w:val="24"/>
          <w:szCs w:val="24"/>
        </w:rPr>
        <w:t xml:space="preserve"> : </w:t>
      </w:r>
      <w:r w:rsidRPr="006E40E3">
        <w:rPr>
          <w:rFonts w:ascii="Times New Roman" w:hAnsi="Times New Roman" w:cs="Times New Roman"/>
          <w:b/>
          <w:bCs/>
          <w:sz w:val="24"/>
          <w:szCs w:val="24"/>
        </w:rPr>
        <w:t xml:space="preserve">contextualiser, décontextualiser, recontextualiser. </w:t>
      </w:r>
    </w:p>
    <w:p w14:paraId="3B6CC26A" w14:textId="7FF4EA58" w:rsidR="008F093D" w:rsidRDefault="008F093D" w:rsidP="000754AD">
      <w:pPr>
        <w:spacing w:after="0" w:line="360" w:lineRule="auto"/>
        <w:jc w:val="both"/>
        <w:rPr>
          <w:rFonts w:ascii="Times New Roman" w:hAnsi="Times New Roman" w:cs="Times New Roman"/>
          <w:b/>
          <w:i/>
          <w:sz w:val="24"/>
          <w:szCs w:val="24"/>
        </w:rPr>
      </w:pPr>
    </w:p>
    <w:p w14:paraId="71CF2EB9" w14:textId="77777777" w:rsidR="000026B5" w:rsidRDefault="000026B5" w:rsidP="000754AD">
      <w:pPr>
        <w:spacing w:after="0" w:line="360" w:lineRule="auto"/>
        <w:jc w:val="both"/>
        <w:rPr>
          <w:rFonts w:ascii="Times New Roman" w:hAnsi="Times New Roman" w:cs="Times New Roman"/>
          <w:b/>
          <w:i/>
          <w:sz w:val="24"/>
          <w:szCs w:val="24"/>
        </w:rPr>
      </w:pPr>
    </w:p>
    <w:p w14:paraId="28AE8FF8" w14:textId="7200AEC7" w:rsidR="000004A9" w:rsidRDefault="000004A9" w:rsidP="000754AD">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CONTEXTUALISER (situation-source)</w:t>
      </w:r>
    </w:p>
    <w:p w14:paraId="46390E5B" w14:textId="10D61078" w:rsidR="00CA212F" w:rsidRDefault="003D3AA5" w:rsidP="008709D2">
      <w:pPr>
        <w:spacing w:after="0" w:line="360" w:lineRule="auto"/>
        <w:jc w:val="center"/>
        <w:rPr>
          <w:rFonts w:ascii="Times New Roman" w:hAnsi="Times New Roman" w:cs="Times New Roman"/>
          <w:b/>
          <w:i/>
          <w:sz w:val="24"/>
          <w:szCs w:val="24"/>
        </w:rPr>
      </w:pPr>
      <w:r>
        <w:rPr>
          <w:noProof/>
        </w:rPr>
        <w:drawing>
          <wp:inline distT="0" distB="0" distL="0" distR="0" wp14:anchorId="296776D1" wp14:editId="0145E8CD">
            <wp:extent cx="2181225" cy="1800225"/>
            <wp:effectExtent l="0" t="0" r="9525" b="9525"/>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96DAC541-7B7A-43D3-8B79-37D633B846F1}">
                          <asvg:svgBlip xmlns:asvg="http://schemas.microsoft.com/office/drawing/2016/SVG/main" r:embed="rId11"/>
                        </a:ext>
                      </a:extLst>
                    </a:blip>
                    <a:srcRect l="30258" t="22928" r="31878" b="21517"/>
                    <a:stretch/>
                  </pic:blipFill>
                  <pic:spPr bwMode="auto">
                    <a:xfrm>
                      <a:off x="0" y="0"/>
                      <a:ext cx="2181225" cy="1800225"/>
                    </a:xfrm>
                    <a:prstGeom prst="rect">
                      <a:avLst/>
                    </a:prstGeom>
                    <a:ln>
                      <a:noFill/>
                    </a:ln>
                    <a:extLst>
                      <a:ext uri="{53640926-AAD7-44D8-BBD7-CCE9431645EC}">
                        <a14:shadowObscured xmlns:a14="http://schemas.microsoft.com/office/drawing/2010/main"/>
                      </a:ext>
                    </a:extLst>
                  </pic:spPr>
                </pic:pic>
              </a:graphicData>
            </a:graphic>
          </wp:inline>
        </w:drawing>
      </w:r>
    </w:p>
    <w:p w14:paraId="3D4A2440" w14:textId="2926CFC6" w:rsidR="00D501D1" w:rsidRDefault="000004A9" w:rsidP="008709D2">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Au cours de la contextualisation, l’enseignant propose une situation d’apprentissage</w:t>
      </w:r>
      <w:r>
        <w:rPr>
          <w:rFonts w:ascii="Times New Roman" w:hAnsi="Times New Roman" w:cs="Times New Roman"/>
          <w:sz w:val="24"/>
          <w:szCs w:val="24"/>
        </w:rPr>
        <w:t xml:space="preserve"> dans laquelle l’apprenant s’engage dans des pratiques concrètes et précises</w:t>
      </w:r>
      <w:r w:rsidRPr="00013CD6">
        <w:rPr>
          <w:rFonts w:ascii="Times New Roman" w:hAnsi="Times New Roman" w:cs="Times New Roman"/>
          <w:sz w:val="24"/>
          <w:szCs w:val="24"/>
        </w:rPr>
        <w:t>.</w:t>
      </w:r>
      <w:r>
        <w:rPr>
          <w:rFonts w:ascii="Times New Roman" w:hAnsi="Times New Roman" w:cs="Times New Roman"/>
          <w:sz w:val="24"/>
          <w:szCs w:val="24"/>
        </w:rPr>
        <w:t xml:space="preserve"> </w:t>
      </w:r>
      <w:r w:rsidR="00D501D1" w:rsidRPr="0063705B">
        <w:rPr>
          <w:rFonts w:ascii="Times New Roman" w:hAnsi="Times New Roman" w:cs="Times New Roman"/>
          <w:sz w:val="24"/>
          <w:szCs w:val="24"/>
        </w:rPr>
        <w:t xml:space="preserve">Le concept de « situation » fait référence à l’environnement dans lequel se réalise une tâche. </w:t>
      </w:r>
      <w:r w:rsidR="005040AC">
        <w:rPr>
          <w:rFonts w:ascii="Times New Roman" w:hAnsi="Times New Roman" w:cs="Times New Roman"/>
          <w:sz w:val="24"/>
          <w:szCs w:val="24"/>
        </w:rPr>
        <w:t xml:space="preserve">Cet environnement doit avoir du sens pour l’apprenant, c’est-à-dire qu’il doit être concret et connu, voire familier, pour l’apprenant. </w:t>
      </w:r>
      <w:r w:rsidR="00D501D1" w:rsidRPr="0063705B">
        <w:rPr>
          <w:rFonts w:ascii="Times New Roman" w:hAnsi="Times New Roman" w:cs="Times New Roman"/>
          <w:sz w:val="24"/>
          <w:szCs w:val="24"/>
        </w:rPr>
        <w:t xml:space="preserve"> </w:t>
      </w:r>
      <w:r w:rsidR="005040AC">
        <w:rPr>
          <w:rFonts w:ascii="Times New Roman" w:hAnsi="Times New Roman" w:cs="Times New Roman"/>
          <w:sz w:val="24"/>
          <w:szCs w:val="24"/>
        </w:rPr>
        <w:t xml:space="preserve">Ainsi, l’apprenant fait des liens entre la situation et des expériences </w:t>
      </w:r>
      <w:r w:rsidR="000754AD">
        <w:rPr>
          <w:rFonts w:ascii="Times New Roman" w:hAnsi="Times New Roman" w:cs="Times New Roman"/>
          <w:sz w:val="24"/>
          <w:szCs w:val="24"/>
        </w:rPr>
        <w:t xml:space="preserve">passées qu’il a vécues. </w:t>
      </w:r>
    </w:p>
    <w:p w14:paraId="50FDA450" w14:textId="25793818" w:rsidR="000754AD" w:rsidRDefault="000754AD" w:rsidP="008709D2">
      <w:pPr>
        <w:spacing w:after="0" w:line="240" w:lineRule="auto"/>
        <w:jc w:val="both"/>
        <w:rPr>
          <w:rFonts w:ascii="Times New Roman" w:hAnsi="Times New Roman" w:cs="Times New Roman"/>
          <w:sz w:val="24"/>
          <w:szCs w:val="24"/>
        </w:rPr>
      </w:pPr>
    </w:p>
    <w:tbl>
      <w:tblPr>
        <w:tblStyle w:val="Grilledutableau"/>
        <w:tblW w:w="9918" w:type="dxa"/>
        <w:tblCellMar>
          <w:top w:w="113" w:type="dxa"/>
          <w:bottom w:w="113" w:type="dxa"/>
        </w:tblCellMar>
        <w:tblLook w:val="04A0" w:firstRow="1" w:lastRow="0" w:firstColumn="1" w:lastColumn="0" w:noHBand="0" w:noVBand="1"/>
      </w:tblPr>
      <w:tblGrid>
        <w:gridCol w:w="9918"/>
      </w:tblGrid>
      <w:tr w:rsidR="000754AD" w14:paraId="1F4F2F6A" w14:textId="77777777" w:rsidTr="000026B5">
        <w:tc>
          <w:tcPr>
            <w:tcW w:w="9918" w:type="dxa"/>
          </w:tcPr>
          <w:p w14:paraId="743E0B81" w14:textId="4F990AB6" w:rsidR="000754AD" w:rsidRDefault="000754AD" w:rsidP="008709D2">
            <w:pPr>
              <w:pStyle w:val="Paragraphedeliste"/>
              <w:numPr>
                <w:ilvl w:val="0"/>
                <w:numId w:val="8"/>
              </w:numPr>
              <w:ind w:left="714" w:hanging="357"/>
              <w:jc w:val="both"/>
              <w:rPr>
                <w:rFonts w:ascii="Times New Roman" w:hAnsi="Times New Roman" w:cs="Times New Roman"/>
                <w:sz w:val="24"/>
                <w:szCs w:val="24"/>
              </w:rPr>
            </w:pPr>
            <w:r>
              <w:rPr>
                <w:rFonts w:ascii="Times New Roman" w:hAnsi="Times New Roman" w:cs="Times New Roman"/>
                <w:sz w:val="24"/>
                <w:szCs w:val="24"/>
              </w:rPr>
              <w:t>La contextualisation correspond à la phase de réalisation de l’apprentissage (phase 2).</w:t>
            </w:r>
          </w:p>
          <w:p w14:paraId="139391DB" w14:textId="4FA33B7B" w:rsidR="000754AD" w:rsidRPr="000754AD" w:rsidRDefault="000754AD" w:rsidP="008709D2">
            <w:pPr>
              <w:pStyle w:val="Paragraphedeliste"/>
              <w:numPr>
                <w:ilvl w:val="0"/>
                <w:numId w:val="8"/>
              </w:numPr>
              <w:ind w:left="714" w:hanging="357"/>
              <w:jc w:val="both"/>
              <w:rPr>
                <w:rFonts w:ascii="Times New Roman" w:hAnsi="Times New Roman" w:cs="Times New Roman"/>
                <w:sz w:val="24"/>
                <w:szCs w:val="24"/>
              </w:rPr>
            </w:pPr>
            <w:r>
              <w:rPr>
                <w:rFonts w:ascii="Times New Roman" w:hAnsi="Times New Roman" w:cs="Times New Roman"/>
                <w:sz w:val="24"/>
                <w:szCs w:val="24"/>
              </w:rPr>
              <w:t>L</w:t>
            </w:r>
            <w:r w:rsidR="00E30387">
              <w:rPr>
                <w:rFonts w:ascii="Times New Roman" w:hAnsi="Times New Roman" w:cs="Times New Roman"/>
                <w:sz w:val="24"/>
                <w:szCs w:val="24"/>
              </w:rPr>
              <w:t>a</w:t>
            </w:r>
            <w:r>
              <w:rPr>
                <w:rFonts w:ascii="Times New Roman" w:hAnsi="Times New Roman" w:cs="Times New Roman"/>
                <w:sz w:val="24"/>
                <w:szCs w:val="24"/>
              </w:rPr>
              <w:t xml:space="preserve"> situation-sourc</w:t>
            </w:r>
            <w:r w:rsidR="00E30387">
              <w:rPr>
                <w:rFonts w:ascii="Times New Roman" w:hAnsi="Times New Roman" w:cs="Times New Roman"/>
                <w:sz w:val="24"/>
                <w:szCs w:val="24"/>
              </w:rPr>
              <w:t xml:space="preserve">e est </w:t>
            </w:r>
            <w:r>
              <w:rPr>
                <w:rFonts w:ascii="Times New Roman" w:hAnsi="Times New Roman" w:cs="Times New Roman"/>
                <w:sz w:val="24"/>
                <w:szCs w:val="24"/>
              </w:rPr>
              <w:t>l’environnement dans lequel se déploie l’apprentissage contextualisé.</w:t>
            </w:r>
          </w:p>
        </w:tc>
      </w:tr>
    </w:tbl>
    <w:p w14:paraId="3669BECC" w14:textId="77777777" w:rsidR="000754AD" w:rsidRDefault="000754AD" w:rsidP="008709D2">
      <w:pPr>
        <w:spacing w:after="0" w:line="240" w:lineRule="auto"/>
        <w:jc w:val="both"/>
        <w:rPr>
          <w:rFonts w:ascii="Times New Roman" w:hAnsi="Times New Roman" w:cs="Times New Roman"/>
          <w:sz w:val="24"/>
          <w:szCs w:val="24"/>
        </w:rPr>
      </w:pPr>
    </w:p>
    <w:p w14:paraId="5EEEBA45" w14:textId="0A8C3046" w:rsidR="00CB2BB7" w:rsidRDefault="008F093D" w:rsidP="00870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faciliter la contextualisation, l’enseignant propose à l’apprenant un contexte d’apprentissage </w:t>
      </w:r>
      <w:r w:rsidR="00D70E7B">
        <w:rPr>
          <w:rFonts w:ascii="Times New Roman" w:hAnsi="Times New Roman" w:cs="Times New Roman"/>
          <w:sz w:val="24"/>
          <w:szCs w:val="24"/>
        </w:rPr>
        <w:t>en lien avec des situations qu’il connaît</w:t>
      </w:r>
      <w:r w:rsidRPr="008F093D">
        <w:rPr>
          <w:rFonts w:ascii="Times New Roman" w:hAnsi="Times New Roman" w:cs="Times New Roman"/>
          <w:sz w:val="24"/>
          <w:szCs w:val="24"/>
        </w:rPr>
        <w:t>. Il s’agit donc de situations concrètes, près des préoccupations immédiates de l’apprenant</w:t>
      </w:r>
      <w:r w:rsidR="00D70E7B">
        <w:rPr>
          <w:rFonts w:ascii="Times New Roman" w:hAnsi="Times New Roman" w:cs="Times New Roman"/>
          <w:sz w:val="24"/>
          <w:szCs w:val="24"/>
        </w:rPr>
        <w:t xml:space="preserve"> et qui sont </w:t>
      </w:r>
      <w:r w:rsidRPr="0063705B">
        <w:rPr>
          <w:rFonts w:ascii="Times New Roman" w:hAnsi="Times New Roman" w:cs="Times New Roman"/>
          <w:sz w:val="24"/>
          <w:szCs w:val="24"/>
        </w:rPr>
        <w:t>en dehors du contexte d’apprentissage scolaire. Attention de ne pas proposer des tâches trop complexes; l’apprentissage se fait généralement du simple au complexe.</w:t>
      </w:r>
    </w:p>
    <w:p w14:paraId="64AC4475" w14:textId="563D5E86" w:rsidR="00D44C0F" w:rsidRDefault="00D44C0F" w:rsidP="008709D2">
      <w:pPr>
        <w:spacing w:after="0" w:line="240" w:lineRule="auto"/>
        <w:jc w:val="both"/>
        <w:rPr>
          <w:rFonts w:ascii="Times New Roman" w:hAnsi="Times New Roman" w:cs="Times New Roman"/>
          <w:b/>
          <w:i/>
          <w:sz w:val="24"/>
          <w:szCs w:val="24"/>
        </w:rPr>
      </w:pPr>
      <w:bookmarkStart w:id="1" w:name="_GoBack"/>
      <w:bookmarkEnd w:id="1"/>
    </w:p>
    <w:p w14:paraId="79BE1D69" w14:textId="77777777" w:rsidR="007158E3" w:rsidRDefault="007158E3">
      <w:pPr>
        <w:rPr>
          <w:rFonts w:ascii="Times New Roman" w:hAnsi="Times New Roman" w:cs="Times New Roman"/>
          <w:b/>
          <w:i/>
          <w:sz w:val="24"/>
          <w:szCs w:val="24"/>
        </w:rPr>
      </w:pPr>
      <w:r>
        <w:rPr>
          <w:rFonts w:ascii="Times New Roman" w:hAnsi="Times New Roman" w:cs="Times New Roman"/>
          <w:b/>
          <w:i/>
          <w:sz w:val="24"/>
          <w:szCs w:val="24"/>
        </w:rPr>
        <w:br w:type="page"/>
      </w:r>
    </w:p>
    <w:p w14:paraId="4A2C78EA" w14:textId="44CFFA32" w:rsidR="000004A9" w:rsidRDefault="000004A9" w:rsidP="008709D2">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DÉCONTEXTUALISER</w:t>
      </w:r>
    </w:p>
    <w:p w14:paraId="0B486FD2" w14:textId="77777777" w:rsidR="008709D2" w:rsidRDefault="008709D2" w:rsidP="008709D2">
      <w:pPr>
        <w:spacing w:after="0" w:line="240" w:lineRule="auto"/>
        <w:jc w:val="both"/>
        <w:rPr>
          <w:rFonts w:ascii="Times New Roman" w:hAnsi="Times New Roman" w:cs="Times New Roman"/>
          <w:sz w:val="24"/>
          <w:szCs w:val="24"/>
        </w:rPr>
      </w:pPr>
    </w:p>
    <w:p w14:paraId="0725C71D" w14:textId="078C3BDD" w:rsidR="00C50653" w:rsidRDefault="000004A9" w:rsidP="00870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EA27FF">
        <w:rPr>
          <w:rFonts w:ascii="Times New Roman" w:hAnsi="Times New Roman" w:cs="Times New Roman"/>
          <w:sz w:val="24"/>
          <w:szCs w:val="24"/>
        </w:rPr>
        <w:t xml:space="preserve">près </w:t>
      </w:r>
      <w:r>
        <w:rPr>
          <w:rFonts w:ascii="Times New Roman" w:hAnsi="Times New Roman" w:cs="Times New Roman"/>
          <w:sz w:val="24"/>
          <w:szCs w:val="24"/>
        </w:rPr>
        <w:t xml:space="preserve">la contextualisation </w:t>
      </w:r>
      <w:r w:rsidRPr="003845C6">
        <w:rPr>
          <w:rFonts w:ascii="Times New Roman" w:hAnsi="Times New Roman" w:cs="Times New Roman"/>
          <w:sz w:val="24"/>
          <w:szCs w:val="24"/>
        </w:rPr>
        <w:t>au cours de laquelle l’apprentissage</w:t>
      </w:r>
      <w:r w:rsidR="00C50653">
        <w:rPr>
          <w:rFonts w:ascii="Times New Roman" w:hAnsi="Times New Roman" w:cs="Times New Roman"/>
          <w:sz w:val="24"/>
          <w:szCs w:val="24"/>
        </w:rPr>
        <w:t xml:space="preserve"> </w:t>
      </w:r>
      <w:r w:rsidRPr="003845C6">
        <w:rPr>
          <w:rFonts w:ascii="Times New Roman" w:hAnsi="Times New Roman" w:cs="Times New Roman"/>
          <w:sz w:val="24"/>
          <w:szCs w:val="24"/>
        </w:rPr>
        <w:t>est réalisé, l’enseignant passe à la mise en lumière de ce qui a été appris (</w:t>
      </w:r>
      <w:r w:rsidR="00C50653">
        <w:rPr>
          <w:rFonts w:ascii="Times New Roman" w:hAnsi="Times New Roman" w:cs="Times New Roman"/>
          <w:sz w:val="24"/>
          <w:szCs w:val="24"/>
        </w:rPr>
        <w:t>p</w:t>
      </w:r>
      <w:r w:rsidRPr="003845C6">
        <w:rPr>
          <w:rFonts w:ascii="Times New Roman" w:hAnsi="Times New Roman" w:cs="Times New Roman"/>
          <w:sz w:val="24"/>
          <w:szCs w:val="24"/>
        </w:rPr>
        <w:t xml:space="preserve">hase 3, étape 1 : objectivation de l’apprentissage). </w:t>
      </w:r>
    </w:p>
    <w:p w14:paraId="29E134A0" w14:textId="77777777" w:rsidR="00C16334" w:rsidRDefault="00C16334" w:rsidP="008709D2">
      <w:pPr>
        <w:spacing w:after="0" w:line="240" w:lineRule="auto"/>
        <w:jc w:val="both"/>
        <w:rPr>
          <w:rFonts w:ascii="Times New Roman" w:hAnsi="Times New Roman" w:cs="Times New Roman"/>
          <w:sz w:val="24"/>
          <w:szCs w:val="24"/>
        </w:rPr>
      </w:pPr>
    </w:p>
    <w:p w14:paraId="2488E517" w14:textId="583713D8" w:rsidR="00C50653" w:rsidRDefault="00C16334" w:rsidP="007158E3">
      <w:pPr>
        <w:spacing w:after="0" w:line="240" w:lineRule="auto"/>
        <w:jc w:val="center"/>
        <w:rPr>
          <w:rFonts w:ascii="Times New Roman" w:hAnsi="Times New Roman" w:cs="Times New Roman"/>
          <w:sz w:val="24"/>
          <w:szCs w:val="24"/>
        </w:rPr>
      </w:pPr>
      <w:r>
        <w:rPr>
          <w:noProof/>
        </w:rPr>
        <w:drawing>
          <wp:inline distT="0" distB="0" distL="0" distR="0" wp14:anchorId="540126E0" wp14:editId="4B3D3E4F">
            <wp:extent cx="4600575" cy="2676525"/>
            <wp:effectExtent l="0" t="0" r="9525" b="9525"/>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96DAC541-7B7A-43D3-8B79-37D633B846F1}">
                          <asvg:svgBlip xmlns:asvg="http://schemas.microsoft.com/office/drawing/2016/SVG/main" r:embed="rId13"/>
                        </a:ext>
                      </a:extLst>
                    </a:blip>
                    <a:srcRect l="18353" t="9700" r="1785" b="7701"/>
                    <a:stretch/>
                  </pic:blipFill>
                  <pic:spPr bwMode="auto">
                    <a:xfrm>
                      <a:off x="0" y="0"/>
                      <a:ext cx="4600575" cy="2676525"/>
                    </a:xfrm>
                    <a:prstGeom prst="rect">
                      <a:avLst/>
                    </a:prstGeom>
                    <a:ln>
                      <a:noFill/>
                    </a:ln>
                    <a:extLst>
                      <a:ext uri="{53640926-AAD7-44D8-BBD7-CCE9431645EC}">
                        <a14:shadowObscured xmlns:a14="http://schemas.microsoft.com/office/drawing/2010/main"/>
                      </a:ext>
                    </a:extLst>
                  </pic:spPr>
                </pic:pic>
              </a:graphicData>
            </a:graphic>
          </wp:inline>
        </w:drawing>
      </w:r>
    </w:p>
    <w:p w14:paraId="384D68FB" w14:textId="77777777" w:rsidR="00D44C0F" w:rsidRDefault="00D44C0F" w:rsidP="008709D2">
      <w:pPr>
        <w:spacing w:after="0" w:line="240" w:lineRule="auto"/>
        <w:jc w:val="both"/>
        <w:rPr>
          <w:rFonts w:ascii="Times New Roman" w:hAnsi="Times New Roman" w:cs="Times New Roman"/>
          <w:sz w:val="24"/>
          <w:szCs w:val="24"/>
        </w:rPr>
      </w:pPr>
    </w:p>
    <w:p w14:paraId="5B30F40C" w14:textId="3AC87C18" w:rsidR="00C50653" w:rsidRDefault="000004A9" w:rsidP="008709D2">
      <w:pPr>
        <w:spacing w:after="0" w:line="240" w:lineRule="auto"/>
        <w:jc w:val="both"/>
        <w:rPr>
          <w:rFonts w:ascii="Times New Roman" w:hAnsi="Times New Roman" w:cs="Times New Roman"/>
          <w:sz w:val="24"/>
          <w:szCs w:val="24"/>
        </w:rPr>
      </w:pPr>
      <w:r w:rsidRPr="003845C6">
        <w:rPr>
          <w:rFonts w:ascii="Times New Roman" w:hAnsi="Times New Roman" w:cs="Times New Roman"/>
          <w:sz w:val="24"/>
          <w:szCs w:val="24"/>
        </w:rPr>
        <w:t>Cette décontextualisation aide l'apprenant à prendre conscience du contenu de ce qu'il a appris dans sa pratique précédente; c'est donc une objectivation.  C’est</w:t>
      </w:r>
      <w:r>
        <w:rPr>
          <w:rFonts w:ascii="Times New Roman" w:hAnsi="Times New Roman" w:cs="Times New Roman"/>
          <w:sz w:val="24"/>
          <w:szCs w:val="24"/>
        </w:rPr>
        <w:t xml:space="preserve"> ici que se trouve l’essentiel du contenu théorique que l’apprenant doit apprendre. À ce moment, </w:t>
      </w:r>
      <w:r w:rsidRPr="00013CD6">
        <w:rPr>
          <w:rFonts w:ascii="Times New Roman" w:hAnsi="Times New Roman" w:cs="Times New Roman"/>
          <w:sz w:val="24"/>
          <w:szCs w:val="24"/>
        </w:rPr>
        <w:t xml:space="preserve">l’apprenant </w:t>
      </w:r>
      <w:r>
        <w:rPr>
          <w:rFonts w:ascii="Times New Roman" w:hAnsi="Times New Roman" w:cs="Times New Roman"/>
          <w:sz w:val="24"/>
          <w:szCs w:val="24"/>
        </w:rPr>
        <w:t>sort s</w:t>
      </w:r>
      <w:r w:rsidRPr="00013CD6">
        <w:rPr>
          <w:rFonts w:ascii="Times New Roman" w:hAnsi="Times New Roman" w:cs="Times New Roman"/>
          <w:sz w:val="24"/>
          <w:szCs w:val="24"/>
        </w:rPr>
        <w:t>es apprentissages de leur contexte source. Cette opération sollicite une prise de conscience des apprentissages</w:t>
      </w:r>
      <w:r>
        <w:rPr>
          <w:rFonts w:ascii="Times New Roman" w:hAnsi="Times New Roman" w:cs="Times New Roman"/>
          <w:sz w:val="24"/>
          <w:szCs w:val="24"/>
        </w:rPr>
        <w:t xml:space="preserve"> en les transformant pour qu’ils deviennent de la théorie (« j’ai appris telle chose et telle chose »). </w:t>
      </w:r>
    </w:p>
    <w:p w14:paraId="7F486053" w14:textId="77777777" w:rsidR="00C50653" w:rsidRDefault="00C50653" w:rsidP="008709D2">
      <w:pPr>
        <w:spacing w:after="0" w:line="240" w:lineRule="auto"/>
        <w:jc w:val="both"/>
        <w:rPr>
          <w:rFonts w:ascii="Times New Roman" w:hAnsi="Times New Roman" w:cs="Times New Roman"/>
          <w:sz w:val="24"/>
          <w:szCs w:val="24"/>
        </w:rPr>
      </w:pPr>
    </w:p>
    <w:p w14:paraId="272786F8" w14:textId="1CEB05C0" w:rsidR="00CA212F" w:rsidRDefault="000004A9" w:rsidP="00870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l’enseignant, c</w:t>
      </w:r>
      <w:r w:rsidRPr="00013CD6">
        <w:rPr>
          <w:rFonts w:ascii="Times New Roman" w:hAnsi="Times New Roman" w:cs="Times New Roman"/>
          <w:sz w:val="24"/>
          <w:szCs w:val="24"/>
        </w:rPr>
        <w:t>’est une occasion</w:t>
      </w:r>
      <w:r>
        <w:rPr>
          <w:rFonts w:ascii="Times New Roman" w:hAnsi="Times New Roman" w:cs="Times New Roman"/>
          <w:sz w:val="24"/>
          <w:szCs w:val="24"/>
        </w:rPr>
        <w:t xml:space="preserve"> de collaborer avec les apprenants</w:t>
      </w:r>
      <w:r w:rsidRPr="00013CD6">
        <w:rPr>
          <w:rFonts w:ascii="Times New Roman" w:hAnsi="Times New Roman" w:cs="Times New Roman"/>
          <w:sz w:val="24"/>
          <w:szCs w:val="24"/>
        </w:rPr>
        <w:t xml:space="preserve"> pour </w:t>
      </w:r>
      <w:r>
        <w:rPr>
          <w:rFonts w:ascii="Times New Roman" w:hAnsi="Times New Roman" w:cs="Times New Roman"/>
          <w:sz w:val="24"/>
          <w:szCs w:val="24"/>
        </w:rPr>
        <w:t xml:space="preserve">rendre explicites (visibles) </w:t>
      </w:r>
      <w:r w:rsidRPr="00013CD6">
        <w:rPr>
          <w:rFonts w:ascii="Times New Roman" w:hAnsi="Times New Roman" w:cs="Times New Roman"/>
          <w:sz w:val="24"/>
          <w:szCs w:val="24"/>
        </w:rPr>
        <w:t xml:space="preserve">les </w:t>
      </w:r>
      <w:r>
        <w:rPr>
          <w:rFonts w:ascii="Times New Roman" w:hAnsi="Times New Roman" w:cs="Times New Roman"/>
          <w:sz w:val="24"/>
          <w:szCs w:val="24"/>
        </w:rPr>
        <w:t xml:space="preserve">apprentissages </w:t>
      </w:r>
      <w:r w:rsidRPr="00013CD6">
        <w:rPr>
          <w:rFonts w:ascii="Times New Roman" w:hAnsi="Times New Roman" w:cs="Times New Roman"/>
          <w:sz w:val="24"/>
          <w:szCs w:val="24"/>
        </w:rPr>
        <w:t xml:space="preserve">réalisés dans la situation source. </w:t>
      </w:r>
      <w:r>
        <w:rPr>
          <w:rFonts w:ascii="Times New Roman" w:hAnsi="Times New Roman" w:cs="Times New Roman"/>
          <w:sz w:val="24"/>
          <w:szCs w:val="24"/>
        </w:rPr>
        <w:t xml:space="preserve">Il </w:t>
      </w:r>
      <w:r w:rsidRPr="00013CD6">
        <w:rPr>
          <w:rFonts w:ascii="Times New Roman" w:hAnsi="Times New Roman" w:cs="Times New Roman"/>
          <w:sz w:val="24"/>
          <w:szCs w:val="24"/>
        </w:rPr>
        <w:t>fai</w:t>
      </w:r>
      <w:r>
        <w:rPr>
          <w:rFonts w:ascii="Times New Roman" w:hAnsi="Times New Roman" w:cs="Times New Roman"/>
          <w:sz w:val="24"/>
          <w:szCs w:val="24"/>
        </w:rPr>
        <w:t>t</w:t>
      </w:r>
      <w:r w:rsidRPr="00013CD6">
        <w:rPr>
          <w:rFonts w:ascii="Times New Roman" w:hAnsi="Times New Roman" w:cs="Times New Roman"/>
          <w:sz w:val="24"/>
          <w:szCs w:val="24"/>
        </w:rPr>
        <w:t xml:space="preserve"> ressortir les caractéristiques de la situation</w:t>
      </w:r>
      <w:r>
        <w:rPr>
          <w:rFonts w:ascii="Times New Roman" w:hAnsi="Times New Roman" w:cs="Times New Roman"/>
          <w:sz w:val="24"/>
          <w:szCs w:val="24"/>
        </w:rPr>
        <w:t>-</w:t>
      </w:r>
      <w:r w:rsidRPr="00013CD6">
        <w:rPr>
          <w:rFonts w:ascii="Times New Roman" w:hAnsi="Times New Roman" w:cs="Times New Roman"/>
          <w:sz w:val="24"/>
          <w:szCs w:val="24"/>
        </w:rPr>
        <w:t xml:space="preserve">source afin de permettre que </w:t>
      </w:r>
      <w:r>
        <w:rPr>
          <w:rFonts w:ascii="Times New Roman" w:hAnsi="Times New Roman" w:cs="Times New Roman"/>
          <w:sz w:val="24"/>
          <w:szCs w:val="24"/>
        </w:rPr>
        <w:t>c</w:t>
      </w:r>
      <w:r w:rsidRPr="00013CD6">
        <w:rPr>
          <w:rFonts w:ascii="Times New Roman" w:hAnsi="Times New Roman" w:cs="Times New Roman"/>
          <w:sz w:val="24"/>
          <w:szCs w:val="24"/>
        </w:rPr>
        <w:t xml:space="preserve">es caractéristiques soient perçues </w:t>
      </w:r>
      <w:r>
        <w:rPr>
          <w:rFonts w:ascii="Times New Roman" w:hAnsi="Times New Roman" w:cs="Times New Roman"/>
          <w:sz w:val="24"/>
          <w:szCs w:val="24"/>
        </w:rPr>
        <w:t xml:space="preserve">par </w:t>
      </w:r>
      <w:r w:rsidR="009F18BC">
        <w:rPr>
          <w:rFonts w:ascii="Times New Roman" w:hAnsi="Times New Roman" w:cs="Times New Roman"/>
          <w:sz w:val="24"/>
          <w:szCs w:val="24"/>
        </w:rPr>
        <w:t>les apprenants</w:t>
      </w:r>
      <w:r>
        <w:rPr>
          <w:rFonts w:ascii="Times New Roman" w:hAnsi="Times New Roman" w:cs="Times New Roman"/>
          <w:sz w:val="24"/>
          <w:szCs w:val="24"/>
        </w:rPr>
        <w:t xml:space="preserve"> </w:t>
      </w:r>
      <w:r w:rsidRPr="00013CD6">
        <w:rPr>
          <w:rFonts w:ascii="Times New Roman" w:hAnsi="Times New Roman" w:cs="Times New Roman"/>
          <w:sz w:val="24"/>
          <w:szCs w:val="24"/>
        </w:rPr>
        <w:t>dans une situation</w:t>
      </w:r>
      <w:r>
        <w:rPr>
          <w:rFonts w:ascii="Times New Roman" w:hAnsi="Times New Roman" w:cs="Times New Roman"/>
          <w:sz w:val="24"/>
          <w:szCs w:val="24"/>
        </w:rPr>
        <w:t>-</w:t>
      </w:r>
      <w:r w:rsidRPr="00013CD6">
        <w:rPr>
          <w:rFonts w:ascii="Times New Roman" w:hAnsi="Times New Roman" w:cs="Times New Roman"/>
          <w:sz w:val="24"/>
          <w:szCs w:val="24"/>
        </w:rPr>
        <w:t xml:space="preserve">cible, lors de la recontextualisation. </w:t>
      </w:r>
    </w:p>
    <w:p w14:paraId="4E908082" w14:textId="74425078" w:rsidR="00CA212F" w:rsidRDefault="00CA212F" w:rsidP="008709D2">
      <w:pPr>
        <w:spacing w:after="0" w:line="240" w:lineRule="auto"/>
        <w:rPr>
          <w:rFonts w:ascii="Times New Roman" w:hAnsi="Times New Roman" w:cs="Times New Roman"/>
          <w:sz w:val="24"/>
          <w:szCs w:val="24"/>
        </w:rPr>
      </w:pPr>
    </w:p>
    <w:p w14:paraId="1CCF35F6" w14:textId="77777777" w:rsidR="00C16334" w:rsidRDefault="00C16334" w:rsidP="00C16334">
      <w:pPr>
        <w:spacing w:after="0" w:line="240" w:lineRule="auto"/>
        <w:jc w:val="both"/>
        <w:rPr>
          <w:rFonts w:ascii="Times New Roman" w:hAnsi="Times New Roman" w:cs="Times New Roman"/>
          <w:b/>
          <w:i/>
          <w:sz w:val="24"/>
          <w:szCs w:val="24"/>
        </w:rPr>
      </w:pPr>
    </w:p>
    <w:p w14:paraId="037363FC" w14:textId="36E8D20E" w:rsidR="00C16334" w:rsidRDefault="00C16334" w:rsidP="00C1633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RECONTEXTUALISER</w:t>
      </w:r>
    </w:p>
    <w:p w14:paraId="7CCF7B82" w14:textId="77777777" w:rsidR="00C16334" w:rsidRDefault="00C16334" w:rsidP="00C16334">
      <w:pPr>
        <w:spacing w:after="0" w:line="240" w:lineRule="auto"/>
        <w:jc w:val="both"/>
        <w:rPr>
          <w:rFonts w:ascii="Times New Roman" w:hAnsi="Times New Roman" w:cs="Times New Roman"/>
          <w:sz w:val="24"/>
          <w:szCs w:val="24"/>
        </w:rPr>
      </w:pPr>
    </w:p>
    <w:p w14:paraId="3EC21693" w14:textId="77777777" w:rsidR="00C16334" w:rsidRDefault="00C16334" w:rsidP="00C16334">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 xml:space="preserve">Au cours de la recontextualisation, </w:t>
      </w:r>
      <w:r>
        <w:rPr>
          <w:rFonts w:ascii="Times New Roman" w:hAnsi="Times New Roman" w:cs="Times New Roman"/>
          <w:sz w:val="24"/>
          <w:szCs w:val="24"/>
        </w:rPr>
        <w:t xml:space="preserve">l’enseignant aide l’apprenant à anticiper des situations cibles dans lesquels </w:t>
      </w:r>
      <w:r w:rsidRPr="00013CD6">
        <w:rPr>
          <w:rFonts w:ascii="Times New Roman" w:hAnsi="Times New Roman" w:cs="Times New Roman"/>
          <w:sz w:val="24"/>
          <w:szCs w:val="24"/>
        </w:rPr>
        <w:t xml:space="preserve">l’apprenant </w:t>
      </w:r>
      <w:r>
        <w:rPr>
          <w:rFonts w:ascii="Times New Roman" w:hAnsi="Times New Roman" w:cs="Times New Roman"/>
          <w:sz w:val="24"/>
          <w:szCs w:val="24"/>
        </w:rPr>
        <w:t xml:space="preserve">pourra mobiliser les apprentissages qu’il a réalisés (phase 3, étape 2). Ensemble, ils repèrent </w:t>
      </w:r>
      <w:r w:rsidRPr="00013CD6">
        <w:rPr>
          <w:rFonts w:ascii="Times New Roman" w:hAnsi="Times New Roman" w:cs="Times New Roman"/>
          <w:sz w:val="24"/>
          <w:szCs w:val="24"/>
        </w:rPr>
        <w:t>les similitudes et les différences entre la situation</w:t>
      </w:r>
      <w:r>
        <w:rPr>
          <w:rFonts w:ascii="Times New Roman" w:hAnsi="Times New Roman" w:cs="Times New Roman"/>
          <w:sz w:val="24"/>
          <w:szCs w:val="24"/>
        </w:rPr>
        <w:t>-</w:t>
      </w:r>
      <w:r w:rsidRPr="00013CD6">
        <w:rPr>
          <w:rFonts w:ascii="Times New Roman" w:hAnsi="Times New Roman" w:cs="Times New Roman"/>
          <w:sz w:val="24"/>
          <w:szCs w:val="24"/>
        </w:rPr>
        <w:t xml:space="preserve">source et plusieurs situations cibles. Cette </w:t>
      </w:r>
      <w:r>
        <w:rPr>
          <w:rFonts w:ascii="Times New Roman" w:hAnsi="Times New Roman" w:cs="Times New Roman"/>
          <w:sz w:val="24"/>
          <w:szCs w:val="24"/>
        </w:rPr>
        <w:t>anticipation</w:t>
      </w:r>
      <w:r w:rsidRPr="00013CD6">
        <w:rPr>
          <w:rFonts w:ascii="Times New Roman" w:hAnsi="Times New Roman" w:cs="Times New Roman"/>
          <w:sz w:val="24"/>
          <w:szCs w:val="24"/>
        </w:rPr>
        <w:t xml:space="preserve"> permet de regrouper des situations en familles de situation</w:t>
      </w:r>
      <w:r>
        <w:rPr>
          <w:rFonts w:ascii="Times New Roman" w:hAnsi="Times New Roman" w:cs="Times New Roman"/>
          <w:sz w:val="24"/>
          <w:szCs w:val="24"/>
        </w:rPr>
        <w:t>s</w:t>
      </w:r>
      <w:r w:rsidRPr="00013CD6">
        <w:rPr>
          <w:rFonts w:ascii="Times New Roman" w:hAnsi="Times New Roman" w:cs="Times New Roman"/>
          <w:sz w:val="24"/>
          <w:szCs w:val="24"/>
        </w:rPr>
        <w:t>.</w:t>
      </w:r>
      <w:r>
        <w:rPr>
          <w:rFonts w:ascii="Times New Roman" w:hAnsi="Times New Roman" w:cs="Times New Roman"/>
          <w:sz w:val="24"/>
          <w:szCs w:val="24"/>
        </w:rPr>
        <w:t xml:space="preserve"> </w:t>
      </w:r>
    </w:p>
    <w:p w14:paraId="33562F7E" w14:textId="77777777" w:rsidR="00C16334" w:rsidRDefault="00C16334" w:rsidP="00C16334">
      <w:pPr>
        <w:spacing w:after="0" w:line="240" w:lineRule="auto"/>
        <w:jc w:val="both"/>
        <w:rPr>
          <w:rFonts w:ascii="Times New Roman" w:hAnsi="Times New Roman" w:cs="Times New Roman"/>
          <w:sz w:val="24"/>
          <w:szCs w:val="24"/>
        </w:rPr>
      </w:pPr>
    </w:p>
    <w:p w14:paraId="278313F1" w14:textId="6AA0BBEC" w:rsidR="00C16334" w:rsidRDefault="00C16334" w:rsidP="00C16334">
      <w:pPr>
        <w:spacing w:after="0" w:line="240" w:lineRule="auto"/>
        <w:jc w:val="both"/>
        <w:rPr>
          <w:rStyle w:val="Marquedecommentaire"/>
        </w:rPr>
      </w:pPr>
      <w:r>
        <w:rPr>
          <w:rFonts w:ascii="Times New Roman" w:hAnsi="Times New Roman" w:cs="Times New Roman"/>
          <w:sz w:val="24"/>
          <w:szCs w:val="24"/>
        </w:rPr>
        <w:t>Pour illustrer ce qu’est le transfert dans u</w:t>
      </w:r>
      <w:r w:rsidRPr="00013CD6">
        <w:rPr>
          <w:rFonts w:ascii="Times New Roman" w:hAnsi="Times New Roman" w:cs="Times New Roman"/>
          <w:sz w:val="24"/>
          <w:szCs w:val="24"/>
        </w:rPr>
        <w:t>ne famille de situations</w:t>
      </w:r>
      <w:r>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Roegiers</w:t>
      </w:r>
      <w:proofErr w:type="spellEnd"/>
      <w:r w:rsidRPr="00013CD6">
        <w:rPr>
          <w:rFonts w:ascii="Times New Roman" w:hAnsi="Times New Roman" w:cs="Times New Roman"/>
          <w:sz w:val="24"/>
          <w:szCs w:val="24"/>
        </w:rPr>
        <w:t xml:space="preserve"> (2000) </w:t>
      </w:r>
      <w:r>
        <w:rPr>
          <w:rFonts w:ascii="Times New Roman" w:hAnsi="Times New Roman" w:cs="Times New Roman"/>
          <w:sz w:val="24"/>
          <w:szCs w:val="24"/>
        </w:rPr>
        <w:t xml:space="preserve">propose </w:t>
      </w:r>
      <w:r w:rsidRPr="00013CD6">
        <w:rPr>
          <w:rFonts w:ascii="Times New Roman" w:hAnsi="Times New Roman" w:cs="Times New Roman"/>
          <w:sz w:val="24"/>
          <w:szCs w:val="24"/>
        </w:rPr>
        <w:t xml:space="preserve">l’analogie suivante : </w:t>
      </w:r>
      <w:r w:rsidRPr="002C1DC9">
        <w:rPr>
          <w:rFonts w:ascii="Times New Roman" w:hAnsi="Times New Roman" w:cs="Times New Roman"/>
          <w:i/>
          <w:sz w:val="24"/>
          <w:szCs w:val="24"/>
        </w:rPr>
        <w:t>Prenons par exemple la compétence de « Conduire une voiture en ville ». Les situations sont les types de parcours différents, à des moments différents, avec des conditions atmosphériques différentes, avec des densités de circulation différentes, etc. Dans certains cas, lorsque l’on passe son permis de conduire, on tire au hasard une carte à jouer qui est un parcours particulier. Ces différents parcours constituent autant de situations différentes qui appartiennent à une même famille de situations</w:t>
      </w:r>
      <w:r w:rsidRPr="00013CD6">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Roegiers</w:t>
      </w:r>
      <w:proofErr w:type="spellEnd"/>
      <w:r w:rsidRPr="00013CD6">
        <w:rPr>
          <w:rFonts w:ascii="Times New Roman" w:hAnsi="Times New Roman" w:cs="Times New Roman"/>
          <w:sz w:val="24"/>
          <w:szCs w:val="24"/>
        </w:rPr>
        <w:t>, 2000, p. 130</w:t>
      </w:r>
      <w:r>
        <w:rPr>
          <w:rStyle w:val="Marquedecommentaire"/>
        </w:rPr>
        <w:t>).</w:t>
      </w:r>
    </w:p>
    <w:p w14:paraId="3F46E3F9" w14:textId="0D7B4FC4" w:rsidR="000004A9" w:rsidRDefault="000004A9" w:rsidP="008709D2">
      <w:pPr>
        <w:spacing w:after="0" w:line="240" w:lineRule="auto"/>
        <w:jc w:val="both"/>
        <w:rPr>
          <w:rFonts w:ascii="Times New Roman" w:hAnsi="Times New Roman" w:cs="Times New Roman"/>
          <w:sz w:val="24"/>
          <w:szCs w:val="24"/>
        </w:rPr>
      </w:pPr>
    </w:p>
    <w:p w14:paraId="4EAFC72D" w14:textId="4878F34C" w:rsidR="007158E3" w:rsidRDefault="007158E3">
      <w:pPr>
        <w:rPr>
          <w:rFonts w:ascii="Times New Roman" w:hAnsi="Times New Roman" w:cs="Times New Roman"/>
          <w:sz w:val="24"/>
          <w:szCs w:val="24"/>
        </w:rPr>
      </w:pPr>
      <w:r>
        <w:rPr>
          <w:rFonts w:ascii="Times New Roman" w:hAnsi="Times New Roman" w:cs="Times New Roman"/>
          <w:sz w:val="24"/>
          <w:szCs w:val="24"/>
        </w:rPr>
        <w:br w:type="page"/>
      </w:r>
    </w:p>
    <w:p w14:paraId="631A7E4D" w14:textId="77777777" w:rsidR="007158E3" w:rsidRDefault="007158E3" w:rsidP="008709D2">
      <w:pPr>
        <w:spacing w:after="0" w:line="240" w:lineRule="auto"/>
        <w:jc w:val="both"/>
        <w:rPr>
          <w:rFonts w:ascii="Times New Roman" w:hAnsi="Times New Roman" w:cs="Times New Roman"/>
          <w:sz w:val="24"/>
          <w:szCs w:val="24"/>
        </w:rPr>
      </w:pPr>
    </w:p>
    <w:p w14:paraId="3271A964" w14:textId="01B332C7" w:rsidR="000004A9" w:rsidRDefault="00CA212F" w:rsidP="00D8090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AFB490" wp14:editId="35B4915A">
            <wp:extent cx="5705475" cy="320925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 graphique transfert (2) 23-05-2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41710" cy="3229638"/>
                    </a:xfrm>
                    <a:prstGeom prst="rect">
                      <a:avLst/>
                    </a:prstGeom>
                  </pic:spPr>
                </pic:pic>
              </a:graphicData>
            </a:graphic>
          </wp:inline>
        </w:drawing>
      </w:r>
    </w:p>
    <w:p w14:paraId="238799D4" w14:textId="5048B5A1" w:rsidR="00C50653" w:rsidRDefault="009F18BC" w:rsidP="008709D2">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Presseau suggère deux moyens de favoriser le transfert</w:t>
      </w:r>
      <w:r>
        <w:rPr>
          <w:rFonts w:ascii="Times New Roman" w:hAnsi="Times New Roman" w:cs="Times New Roman"/>
          <w:sz w:val="24"/>
          <w:szCs w:val="24"/>
        </w:rPr>
        <w:t xml:space="preserve"> dans la recontextualisation. </w:t>
      </w:r>
      <w:r w:rsidRPr="00013CD6">
        <w:rPr>
          <w:rFonts w:ascii="Times New Roman" w:hAnsi="Times New Roman" w:cs="Times New Roman"/>
          <w:sz w:val="24"/>
          <w:szCs w:val="24"/>
        </w:rPr>
        <w:t>Le premier consiste à amener les apprenants « à envisager hypothétiquement les contextes à l’intérieur desquels ils pourraient réutiliser les apprentissages qu’ils viennent d’effectuer et à justifier pourquoi ils peuvent l’être » (Presseau, 2003, p.117)</w:t>
      </w:r>
      <w:r w:rsidR="00C50653">
        <w:rPr>
          <w:rFonts w:ascii="Times New Roman" w:hAnsi="Times New Roman" w:cs="Times New Roman"/>
          <w:sz w:val="24"/>
          <w:szCs w:val="24"/>
        </w:rPr>
        <w:t xml:space="preserve">. Ainsi, l’apprenant est amené à imaginer des situations au cours desquelles il pourra mobiliser l’apprentissage. </w:t>
      </w:r>
    </w:p>
    <w:p w14:paraId="6EB39BBA" w14:textId="77777777" w:rsidR="00C50653" w:rsidRDefault="00C50653" w:rsidP="008709D2">
      <w:pPr>
        <w:spacing w:after="0" w:line="240" w:lineRule="auto"/>
        <w:jc w:val="both"/>
        <w:rPr>
          <w:rFonts w:ascii="Times New Roman" w:hAnsi="Times New Roman" w:cs="Times New Roman"/>
          <w:sz w:val="24"/>
          <w:szCs w:val="24"/>
        </w:rPr>
      </w:pPr>
    </w:p>
    <w:p w14:paraId="3D4DC3B1" w14:textId="6ADE7963" w:rsidR="009F18BC" w:rsidRDefault="009F18BC" w:rsidP="008709D2">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Le deuxième moyen consiste à « dépasser le caractère hypothétique » (Presseau, 2003, p.117) pour guider les apprenants dans une actualisation de l</w:t>
      </w:r>
      <w:r>
        <w:rPr>
          <w:rFonts w:ascii="Times New Roman" w:hAnsi="Times New Roman" w:cs="Times New Roman"/>
          <w:sz w:val="24"/>
          <w:szCs w:val="24"/>
        </w:rPr>
        <w:t xml:space="preserve">’apprentissage </w:t>
      </w:r>
      <w:r w:rsidRPr="00013CD6">
        <w:rPr>
          <w:rFonts w:ascii="Times New Roman" w:hAnsi="Times New Roman" w:cs="Times New Roman"/>
          <w:sz w:val="24"/>
          <w:szCs w:val="24"/>
        </w:rPr>
        <w:t xml:space="preserve">à l’intérieur d’un nouveau contexte (recontextualisation) réel, dans une activité concrète engageant l’apprenant à agir sur une nouvelle situation (Presseau, 2003). </w:t>
      </w:r>
      <w:r w:rsidR="00C50653">
        <w:rPr>
          <w:rFonts w:ascii="Times New Roman" w:hAnsi="Times New Roman" w:cs="Times New Roman"/>
          <w:sz w:val="24"/>
          <w:szCs w:val="24"/>
        </w:rPr>
        <w:t xml:space="preserve">Ainsi, l’enseignant crée ou invite l’apprenant à participer à une situation réelle au cours de laquelle ce-dernier aura l’occasion de mobiliser l’apprentissage effectué. </w:t>
      </w:r>
    </w:p>
    <w:p w14:paraId="452F84F2" w14:textId="4E52430E" w:rsidR="00CB2BB7" w:rsidRDefault="00CB2BB7" w:rsidP="008709D2">
      <w:pPr>
        <w:spacing w:after="0" w:line="240" w:lineRule="auto"/>
        <w:jc w:val="both"/>
        <w:rPr>
          <w:rFonts w:ascii="Times New Roman" w:hAnsi="Times New Roman" w:cs="Times New Roman"/>
          <w:sz w:val="24"/>
          <w:szCs w:val="24"/>
        </w:rPr>
      </w:pPr>
    </w:p>
    <w:p w14:paraId="3294289E" w14:textId="77777777" w:rsidR="008709D2" w:rsidRPr="0063705B" w:rsidRDefault="008709D2" w:rsidP="008709D2">
      <w:pPr>
        <w:spacing w:after="0" w:line="240" w:lineRule="auto"/>
        <w:jc w:val="both"/>
        <w:rPr>
          <w:rFonts w:ascii="Times New Roman" w:hAnsi="Times New Roman" w:cs="Times New Roman"/>
          <w:sz w:val="24"/>
          <w:szCs w:val="24"/>
        </w:rPr>
      </w:pPr>
    </w:p>
    <w:p w14:paraId="55B8CA4C" w14:textId="30AAB5FD" w:rsidR="00187F53" w:rsidRDefault="00C50653" w:rsidP="008709D2">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Que</w:t>
      </w:r>
      <w:r w:rsidR="00CB2BB7" w:rsidRPr="00CB2BB7">
        <w:rPr>
          <w:rFonts w:ascii="Times New Roman" w:hAnsi="Times New Roman" w:cs="Times New Roman"/>
          <w:b/>
          <w:bCs/>
          <w:i/>
          <w:iCs/>
          <w:sz w:val="24"/>
          <w:szCs w:val="24"/>
        </w:rPr>
        <w:t xml:space="preserve"> </w:t>
      </w:r>
      <w:r w:rsidR="00D70E7B">
        <w:rPr>
          <w:rFonts w:ascii="Times New Roman" w:hAnsi="Times New Roman" w:cs="Times New Roman"/>
          <w:b/>
          <w:bCs/>
          <w:i/>
          <w:iCs/>
          <w:sz w:val="24"/>
          <w:szCs w:val="24"/>
        </w:rPr>
        <w:t>s</w:t>
      </w:r>
      <w:r w:rsidR="00CB2BB7" w:rsidRPr="00CB2BB7">
        <w:rPr>
          <w:rFonts w:ascii="Times New Roman" w:hAnsi="Times New Roman" w:cs="Times New Roman"/>
          <w:b/>
          <w:bCs/>
          <w:i/>
          <w:iCs/>
          <w:sz w:val="24"/>
          <w:szCs w:val="24"/>
        </w:rPr>
        <w:t>e passe-t-il chez l’apprenant?</w:t>
      </w:r>
    </w:p>
    <w:p w14:paraId="20147BA6" w14:textId="77777777" w:rsidR="008709D2" w:rsidRPr="00CB2BB7" w:rsidRDefault="008709D2" w:rsidP="008709D2">
      <w:pPr>
        <w:spacing w:after="0" w:line="240" w:lineRule="auto"/>
        <w:rPr>
          <w:rFonts w:ascii="Times New Roman" w:hAnsi="Times New Roman" w:cs="Times New Roman"/>
          <w:b/>
          <w:bCs/>
          <w:i/>
          <w:iCs/>
          <w:sz w:val="24"/>
          <w:szCs w:val="24"/>
        </w:rPr>
      </w:pPr>
    </w:p>
    <w:p w14:paraId="677C49C4" w14:textId="08D93A97" w:rsidR="00C50653" w:rsidRDefault="00187F53" w:rsidP="008709D2">
      <w:pPr>
        <w:spacing w:after="0" w:line="240" w:lineRule="auto"/>
        <w:jc w:val="both"/>
        <w:rPr>
          <w:rFonts w:ascii="Times New Roman" w:hAnsi="Times New Roman" w:cs="Times New Roman"/>
          <w:sz w:val="24"/>
          <w:szCs w:val="24"/>
        </w:rPr>
      </w:pPr>
      <w:r w:rsidRPr="00F1099E">
        <w:rPr>
          <w:rFonts w:ascii="Times New Roman" w:hAnsi="Times New Roman" w:cs="Times New Roman"/>
          <w:sz w:val="24"/>
          <w:szCs w:val="24"/>
        </w:rPr>
        <w:t xml:space="preserve">Lorsque l’apprenant accomplit une tâche d’apprentissage dans un contexte précis (tâche source), des informations sont encodées </w:t>
      </w:r>
      <w:r>
        <w:rPr>
          <w:rFonts w:ascii="Times New Roman" w:hAnsi="Times New Roman" w:cs="Times New Roman"/>
          <w:sz w:val="24"/>
          <w:szCs w:val="24"/>
        </w:rPr>
        <w:t>dans sa</w:t>
      </w:r>
      <w:r w:rsidRPr="00F1099E">
        <w:rPr>
          <w:rFonts w:ascii="Times New Roman" w:hAnsi="Times New Roman" w:cs="Times New Roman"/>
          <w:sz w:val="24"/>
          <w:szCs w:val="24"/>
        </w:rPr>
        <w:t xml:space="preserve"> mémoire. Cet encodage est essentiel pour que ces informations deviennent des </w:t>
      </w:r>
      <w:r w:rsidR="00D70E7B">
        <w:rPr>
          <w:rFonts w:ascii="Times New Roman" w:hAnsi="Times New Roman" w:cs="Times New Roman"/>
          <w:sz w:val="24"/>
          <w:szCs w:val="24"/>
        </w:rPr>
        <w:t>apprentissages à mobiliser plus tard</w:t>
      </w:r>
      <w:r w:rsidRPr="00F1099E">
        <w:rPr>
          <w:rFonts w:ascii="Times New Roman" w:hAnsi="Times New Roman" w:cs="Times New Roman"/>
          <w:sz w:val="24"/>
          <w:szCs w:val="24"/>
        </w:rPr>
        <w:t xml:space="preserve"> (Astolfi, 1993). Au cours de ce processus d’encodage, l’apprenant donne un sens aux informations qui lui sont communiquées; il les intériorise (Presseau, 2000). </w:t>
      </w:r>
      <w:r w:rsidR="00C50653">
        <w:rPr>
          <w:rFonts w:ascii="Times New Roman" w:hAnsi="Times New Roman" w:cs="Times New Roman"/>
          <w:sz w:val="24"/>
          <w:szCs w:val="24"/>
        </w:rPr>
        <w:t xml:space="preserve">Pour ce faire, il doit se référer à des situations déjà encodées dans sa mémoire, afin de donner un sens à la situation présentée par l’enseignant. </w:t>
      </w:r>
      <w:r w:rsidR="00C50653" w:rsidRPr="008709D2">
        <w:rPr>
          <w:rFonts w:ascii="Times New Roman" w:hAnsi="Times New Roman" w:cs="Times New Roman"/>
          <w:sz w:val="24"/>
          <w:szCs w:val="24"/>
        </w:rPr>
        <w:t xml:space="preserve">Cette étape est primordiale puisque l’apprenant doit partir de quelque chose de connu pour bâtir un nouvel apprentissage. </w:t>
      </w:r>
    </w:p>
    <w:p w14:paraId="10A968E2" w14:textId="77777777" w:rsidR="008709D2" w:rsidRPr="008709D2" w:rsidRDefault="008709D2" w:rsidP="008709D2">
      <w:pPr>
        <w:spacing w:after="0" w:line="240" w:lineRule="auto"/>
        <w:jc w:val="both"/>
        <w:rPr>
          <w:rFonts w:ascii="Times New Roman" w:hAnsi="Times New Roman" w:cs="Times New Roman"/>
          <w:sz w:val="24"/>
          <w:szCs w:val="24"/>
        </w:rPr>
      </w:pPr>
    </w:p>
    <w:p w14:paraId="6A3A8006" w14:textId="2976563C" w:rsidR="00187F53" w:rsidRDefault="00187F53" w:rsidP="008709D2">
      <w:pPr>
        <w:spacing w:after="0" w:line="240" w:lineRule="auto"/>
        <w:jc w:val="both"/>
        <w:rPr>
          <w:rFonts w:ascii="Times New Roman" w:hAnsi="Times New Roman" w:cs="Times New Roman"/>
          <w:sz w:val="24"/>
          <w:szCs w:val="24"/>
        </w:rPr>
      </w:pPr>
      <w:r w:rsidRPr="008709D2">
        <w:rPr>
          <w:rFonts w:ascii="Times New Roman" w:hAnsi="Times New Roman" w:cs="Times New Roman"/>
          <w:sz w:val="24"/>
          <w:szCs w:val="24"/>
        </w:rPr>
        <w:t xml:space="preserve">« Les connaissances encodées, emmagasinées et organisées servent en quelque sorte de base au transfert puisque ce sont celles-ci qui, ultérieurement, seront rappelées et activées lors de l'accomplissement d'une nouvelle tâche, en l'occurrence la tâche cible, […] en fonction de la similarité perçue entre tâche source et tâche cible » (Presseau, 2000, p. 518). Lorsque l’apprenant perçoit bien les similarités entre les deux tâches, il est en mesure de réutiliser les </w:t>
      </w:r>
      <w:r w:rsidR="00D70E7B" w:rsidRPr="008709D2">
        <w:rPr>
          <w:rFonts w:ascii="Times New Roman" w:hAnsi="Times New Roman" w:cs="Times New Roman"/>
          <w:sz w:val="24"/>
          <w:szCs w:val="24"/>
        </w:rPr>
        <w:t>apprentissages réalisés</w:t>
      </w:r>
      <w:r w:rsidRPr="008709D2">
        <w:rPr>
          <w:rFonts w:ascii="Times New Roman" w:hAnsi="Times New Roman" w:cs="Times New Roman"/>
          <w:sz w:val="24"/>
          <w:szCs w:val="24"/>
        </w:rPr>
        <w:t xml:space="preserve"> dans la tâche source tout en les ajustant à la tâche cible.</w:t>
      </w:r>
    </w:p>
    <w:p w14:paraId="62BECAA2" w14:textId="77777777" w:rsidR="007158E3" w:rsidRDefault="007158E3">
      <w:pPr>
        <w:rPr>
          <w:rFonts w:ascii="Times New Roman" w:hAnsi="Times New Roman" w:cs="Times New Roman"/>
          <w:sz w:val="24"/>
          <w:szCs w:val="24"/>
        </w:rPr>
      </w:pPr>
      <w:r>
        <w:rPr>
          <w:rFonts w:ascii="Times New Roman" w:hAnsi="Times New Roman" w:cs="Times New Roman"/>
          <w:sz w:val="24"/>
          <w:szCs w:val="24"/>
        </w:rPr>
        <w:br w:type="page"/>
      </w:r>
    </w:p>
    <w:p w14:paraId="6B117F19" w14:textId="374164A4" w:rsidR="00745C01" w:rsidRDefault="00745C01" w:rsidP="008709D2">
      <w:pPr>
        <w:spacing w:after="0" w:line="240" w:lineRule="auto"/>
        <w:jc w:val="both"/>
        <w:rPr>
          <w:rFonts w:ascii="Times New Roman" w:hAnsi="Times New Roman" w:cs="Times New Roman"/>
          <w:sz w:val="24"/>
          <w:szCs w:val="24"/>
        </w:rPr>
      </w:pPr>
      <w:r w:rsidRPr="008709D2">
        <w:rPr>
          <w:rFonts w:ascii="Times New Roman" w:hAnsi="Times New Roman" w:cs="Times New Roman"/>
          <w:sz w:val="24"/>
          <w:szCs w:val="24"/>
        </w:rPr>
        <w:lastRenderedPageBreak/>
        <w:t xml:space="preserve">Jacques Tardif considère que « le transfert fait essentiellement référence au mécanisme cognitif qui consiste à utiliser dans une tâche cible une connaissance construite ou une compétence développée dans une tâche source » (Tardif, 1999, p. 58).  </w:t>
      </w:r>
    </w:p>
    <w:p w14:paraId="4C5F1090" w14:textId="77777777" w:rsidR="008709D2" w:rsidRPr="008709D2" w:rsidRDefault="008709D2" w:rsidP="008709D2">
      <w:pPr>
        <w:spacing w:after="0" w:line="240" w:lineRule="auto"/>
        <w:jc w:val="both"/>
        <w:rPr>
          <w:rFonts w:ascii="Times New Roman" w:hAnsi="Times New Roman" w:cs="Times New Roman"/>
          <w:sz w:val="24"/>
          <w:szCs w:val="24"/>
        </w:rPr>
      </w:pPr>
    </w:p>
    <w:p w14:paraId="12E77ABC" w14:textId="741E3A99" w:rsidR="001247D1" w:rsidRDefault="009C64CB" w:rsidP="008709D2">
      <w:pPr>
        <w:spacing w:after="0" w:line="240" w:lineRule="auto"/>
        <w:jc w:val="both"/>
        <w:rPr>
          <w:rFonts w:ascii="Times New Roman" w:hAnsi="Times New Roman" w:cs="Times New Roman"/>
          <w:sz w:val="24"/>
          <w:szCs w:val="24"/>
        </w:rPr>
      </w:pPr>
      <w:r w:rsidRPr="008709D2">
        <w:rPr>
          <w:rFonts w:ascii="Times New Roman" w:hAnsi="Times New Roman" w:cs="Times New Roman"/>
          <w:sz w:val="24"/>
          <w:szCs w:val="24"/>
        </w:rPr>
        <w:t xml:space="preserve">Pour Perrenoud (2002), lorsque l’apprenant développe une compétence, il développe l’aptitude à maîtriser une famille de situations en agissant dans un but précis. </w:t>
      </w:r>
    </w:p>
    <w:p w14:paraId="46BB0195" w14:textId="77777777" w:rsidR="008709D2" w:rsidRPr="008709D2" w:rsidRDefault="008709D2" w:rsidP="008709D2">
      <w:pPr>
        <w:spacing w:after="0" w:line="240" w:lineRule="auto"/>
        <w:jc w:val="both"/>
        <w:rPr>
          <w:rFonts w:ascii="Times New Roman" w:hAnsi="Times New Roman" w:cs="Times New Roman"/>
          <w:sz w:val="24"/>
          <w:szCs w:val="24"/>
        </w:rPr>
      </w:pPr>
    </w:p>
    <w:p w14:paraId="0B0AD1BE" w14:textId="16C59337" w:rsidR="00745C01" w:rsidRPr="00C16334" w:rsidRDefault="009C64CB" w:rsidP="008709D2">
      <w:pPr>
        <w:spacing w:after="0" w:line="240" w:lineRule="auto"/>
        <w:rPr>
          <w:rFonts w:ascii="Times New Roman" w:hAnsi="Times New Roman" w:cs="Times New Roman"/>
          <w:sz w:val="24"/>
          <w:szCs w:val="24"/>
        </w:rPr>
      </w:pPr>
      <w:r w:rsidRPr="008709D2">
        <w:rPr>
          <w:rFonts w:ascii="Times New Roman" w:hAnsi="Times New Roman" w:cs="Times New Roman"/>
          <w:sz w:val="24"/>
          <w:szCs w:val="24"/>
        </w:rPr>
        <w:t>Philippe Gagnaire (2002)</w:t>
      </w:r>
      <w:r w:rsidR="001247D1" w:rsidRPr="008709D2">
        <w:rPr>
          <w:rFonts w:ascii="Times New Roman" w:hAnsi="Times New Roman" w:cs="Times New Roman"/>
          <w:sz w:val="24"/>
          <w:szCs w:val="24"/>
        </w:rPr>
        <w:t>, quant à lui,</w:t>
      </w:r>
      <w:r w:rsidRPr="008709D2">
        <w:rPr>
          <w:rFonts w:ascii="Times New Roman" w:hAnsi="Times New Roman" w:cs="Times New Roman"/>
          <w:sz w:val="24"/>
          <w:szCs w:val="24"/>
        </w:rPr>
        <w:t xml:space="preserve"> établit une analogie entre le processus de transfert et le bricolage. </w:t>
      </w:r>
      <w:r w:rsidR="001247D1" w:rsidRPr="008709D2">
        <w:rPr>
          <w:rFonts w:ascii="Times New Roman" w:hAnsi="Times New Roman" w:cs="Times New Roman"/>
          <w:sz w:val="24"/>
          <w:szCs w:val="24"/>
        </w:rPr>
        <w:t>Selon</w:t>
      </w:r>
      <w:r w:rsidRPr="008709D2">
        <w:rPr>
          <w:rFonts w:ascii="Times New Roman" w:hAnsi="Times New Roman" w:cs="Times New Roman"/>
          <w:sz w:val="24"/>
          <w:szCs w:val="24"/>
        </w:rPr>
        <w:t xml:space="preserve"> lui, l’enseignant qui amène les élèves à construire des compétences transférables valorise une forme d’action à l’intérieur d’une famille de situations. Le transfert </w:t>
      </w:r>
      <w:r w:rsidRPr="00C16334">
        <w:rPr>
          <w:rFonts w:ascii="Times New Roman" w:hAnsi="Times New Roman" w:cs="Times New Roman"/>
          <w:sz w:val="24"/>
          <w:szCs w:val="24"/>
        </w:rPr>
        <w:t xml:space="preserve">correspondrait alors au bricolage que réalise un apprenant pour adapter </w:t>
      </w:r>
      <w:r w:rsidR="0055332C" w:rsidRPr="00C16334">
        <w:rPr>
          <w:rFonts w:ascii="Times New Roman" w:hAnsi="Times New Roman" w:cs="Times New Roman"/>
          <w:sz w:val="24"/>
          <w:szCs w:val="24"/>
        </w:rPr>
        <w:t>s</w:t>
      </w:r>
      <w:r w:rsidRPr="00C16334">
        <w:rPr>
          <w:rFonts w:ascii="Times New Roman" w:hAnsi="Times New Roman" w:cs="Times New Roman"/>
          <w:sz w:val="24"/>
          <w:szCs w:val="24"/>
        </w:rPr>
        <w:t xml:space="preserve">es </w:t>
      </w:r>
      <w:r w:rsidR="0055332C" w:rsidRPr="00C16334">
        <w:rPr>
          <w:rFonts w:ascii="Times New Roman" w:hAnsi="Times New Roman" w:cs="Times New Roman"/>
          <w:sz w:val="24"/>
          <w:szCs w:val="24"/>
        </w:rPr>
        <w:t xml:space="preserve">apprentissages antérieurs </w:t>
      </w:r>
      <w:r w:rsidRPr="00C16334">
        <w:rPr>
          <w:rFonts w:ascii="Times New Roman" w:hAnsi="Times New Roman" w:cs="Times New Roman"/>
          <w:sz w:val="24"/>
          <w:szCs w:val="24"/>
        </w:rPr>
        <w:t>et agir dans une situation nouvelle. Barth (1993) soutient que l’important est que l’apprenant saisisse le caractère transférable de l</w:t>
      </w:r>
      <w:r w:rsidR="0055332C" w:rsidRPr="00C16334">
        <w:rPr>
          <w:rFonts w:ascii="Times New Roman" w:hAnsi="Times New Roman" w:cs="Times New Roman"/>
          <w:sz w:val="24"/>
          <w:szCs w:val="24"/>
        </w:rPr>
        <w:t xml:space="preserve">’apprentissage </w:t>
      </w:r>
      <w:r w:rsidRPr="00C16334">
        <w:rPr>
          <w:rFonts w:ascii="Times New Roman" w:hAnsi="Times New Roman" w:cs="Times New Roman"/>
          <w:sz w:val="24"/>
          <w:szCs w:val="24"/>
        </w:rPr>
        <w:t xml:space="preserve">qu’il vient de </w:t>
      </w:r>
      <w:r w:rsidR="0055332C" w:rsidRPr="00C16334">
        <w:rPr>
          <w:rFonts w:ascii="Times New Roman" w:hAnsi="Times New Roman" w:cs="Times New Roman"/>
          <w:sz w:val="24"/>
          <w:szCs w:val="24"/>
        </w:rPr>
        <w:t>faire</w:t>
      </w:r>
      <w:r w:rsidRPr="00C16334">
        <w:rPr>
          <w:rFonts w:ascii="Times New Roman" w:hAnsi="Times New Roman" w:cs="Times New Roman"/>
          <w:sz w:val="24"/>
          <w:szCs w:val="24"/>
        </w:rPr>
        <w:t xml:space="preserve">, qu’il effectue une généralisation pour dépasser le contexte de la situation proposée (la situation source) car c’est finalement cette généralisation, une fois passée dans la mémoire à long terme, qui demeure prête à être mobilisée dans tous les contextes (les situations cibles). </w:t>
      </w:r>
    </w:p>
    <w:p w14:paraId="1EFCFA2D" w14:textId="393DB92E" w:rsidR="009C64CB" w:rsidRPr="00C16334" w:rsidRDefault="009C64CB" w:rsidP="008709D2">
      <w:pPr>
        <w:spacing w:after="0" w:line="240" w:lineRule="auto"/>
        <w:rPr>
          <w:rFonts w:ascii="Times New Roman" w:hAnsi="Times New Roman" w:cs="Times New Roman"/>
          <w:sz w:val="24"/>
          <w:szCs w:val="24"/>
        </w:rPr>
      </w:pPr>
    </w:p>
    <w:p w14:paraId="0FF5F713" w14:textId="77777777" w:rsidR="008709D2" w:rsidRPr="00C16334" w:rsidRDefault="008709D2" w:rsidP="008709D2">
      <w:pPr>
        <w:spacing w:after="0" w:line="240" w:lineRule="auto"/>
        <w:rPr>
          <w:rFonts w:ascii="Times New Roman" w:hAnsi="Times New Roman" w:cs="Times New Roman"/>
          <w:sz w:val="24"/>
          <w:szCs w:val="24"/>
        </w:rPr>
      </w:pPr>
    </w:p>
    <w:p w14:paraId="6A1665EA" w14:textId="668BAD16" w:rsidR="009C64CB" w:rsidRPr="00C16334" w:rsidRDefault="008709D2" w:rsidP="008709D2">
      <w:pPr>
        <w:tabs>
          <w:tab w:val="left" w:pos="1276"/>
        </w:tabs>
        <w:spacing w:after="0" w:line="240" w:lineRule="auto"/>
        <w:rPr>
          <w:rFonts w:ascii="Times New Roman" w:hAnsi="Times New Roman" w:cs="Times New Roman"/>
          <w:b/>
          <w:i/>
          <w:sz w:val="24"/>
          <w:szCs w:val="24"/>
        </w:rPr>
      </w:pPr>
      <w:r w:rsidRPr="00C16334">
        <w:rPr>
          <w:rFonts w:ascii="Times New Roman" w:hAnsi="Times New Roman" w:cs="Times New Roman"/>
          <w:b/>
          <w:i/>
          <w:sz w:val="24"/>
          <w:szCs w:val="24"/>
        </w:rPr>
        <w:t>Que fait l’enseignant</w:t>
      </w:r>
      <w:r w:rsidR="009C64CB" w:rsidRPr="00C16334">
        <w:rPr>
          <w:rFonts w:ascii="Times New Roman" w:hAnsi="Times New Roman" w:cs="Times New Roman"/>
          <w:b/>
          <w:i/>
          <w:sz w:val="24"/>
          <w:szCs w:val="24"/>
        </w:rPr>
        <w:t xml:space="preserve"> pour soutenir le transfert</w:t>
      </w:r>
      <w:r w:rsidRPr="00C16334">
        <w:rPr>
          <w:rFonts w:ascii="Times New Roman" w:hAnsi="Times New Roman" w:cs="Times New Roman"/>
          <w:b/>
          <w:i/>
          <w:sz w:val="24"/>
          <w:szCs w:val="24"/>
        </w:rPr>
        <w:t>?</w:t>
      </w:r>
      <w:r w:rsidR="009C64CB" w:rsidRPr="00C16334">
        <w:rPr>
          <w:rFonts w:ascii="Times New Roman" w:hAnsi="Times New Roman" w:cs="Times New Roman"/>
          <w:b/>
          <w:i/>
          <w:sz w:val="24"/>
          <w:szCs w:val="24"/>
        </w:rPr>
        <w:t xml:space="preserve"> </w:t>
      </w:r>
    </w:p>
    <w:p w14:paraId="177C05CD" w14:textId="77777777" w:rsidR="008709D2" w:rsidRPr="00C16334" w:rsidRDefault="008709D2" w:rsidP="008709D2">
      <w:pPr>
        <w:spacing w:after="0" w:line="240" w:lineRule="auto"/>
        <w:rPr>
          <w:rFonts w:ascii="Times New Roman" w:hAnsi="Times New Roman" w:cs="Times New Roman"/>
          <w:sz w:val="24"/>
          <w:szCs w:val="24"/>
        </w:rPr>
      </w:pPr>
    </w:p>
    <w:p w14:paraId="7850C37B" w14:textId="5CDEA76C" w:rsidR="009C64CB" w:rsidRPr="00C16334" w:rsidRDefault="009C64CB" w:rsidP="008709D2">
      <w:pPr>
        <w:spacing w:after="0" w:line="240" w:lineRule="auto"/>
        <w:rPr>
          <w:rFonts w:ascii="Times New Roman" w:hAnsi="Times New Roman" w:cs="Times New Roman"/>
          <w:sz w:val="24"/>
          <w:szCs w:val="24"/>
        </w:rPr>
      </w:pPr>
      <w:proofErr w:type="spellStart"/>
      <w:r w:rsidRPr="00C16334">
        <w:rPr>
          <w:rFonts w:ascii="Times New Roman" w:hAnsi="Times New Roman" w:cs="Times New Roman"/>
          <w:sz w:val="24"/>
          <w:szCs w:val="24"/>
        </w:rPr>
        <w:t>Jonnaert</w:t>
      </w:r>
      <w:proofErr w:type="spellEnd"/>
      <w:r w:rsidRPr="00C16334">
        <w:rPr>
          <w:rFonts w:ascii="Times New Roman" w:hAnsi="Times New Roman" w:cs="Times New Roman"/>
          <w:sz w:val="24"/>
          <w:szCs w:val="24"/>
        </w:rPr>
        <w:t xml:space="preserve"> (2002) soutient que l</w:t>
      </w:r>
      <w:r w:rsidR="00CC4F28" w:rsidRPr="00C16334">
        <w:rPr>
          <w:rFonts w:ascii="Times New Roman" w:hAnsi="Times New Roman" w:cs="Times New Roman"/>
          <w:sz w:val="24"/>
          <w:szCs w:val="24"/>
        </w:rPr>
        <w:t xml:space="preserve">’enseignant doit aider l’apprenant à faire </w:t>
      </w:r>
      <w:r w:rsidRPr="00C16334">
        <w:rPr>
          <w:rFonts w:ascii="Times New Roman" w:hAnsi="Times New Roman" w:cs="Times New Roman"/>
          <w:sz w:val="24"/>
          <w:szCs w:val="24"/>
        </w:rPr>
        <w:t xml:space="preserve">le lien entre les phases de contextualisation, de décontextualisation et de recontextualisation. Pour soutenir le transfert, il ne s’agit pas simplement </w:t>
      </w:r>
      <w:r w:rsidR="001247D1" w:rsidRPr="00C16334">
        <w:rPr>
          <w:rFonts w:ascii="Times New Roman" w:hAnsi="Times New Roman" w:cs="Times New Roman"/>
          <w:sz w:val="24"/>
          <w:szCs w:val="24"/>
        </w:rPr>
        <w:t>d’</w:t>
      </w:r>
      <w:r w:rsidRPr="00C16334">
        <w:rPr>
          <w:rFonts w:ascii="Times New Roman" w:hAnsi="Times New Roman" w:cs="Times New Roman"/>
          <w:sz w:val="24"/>
          <w:szCs w:val="24"/>
        </w:rPr>
        <w:t>évoquer des tâches cibles possibles</w:t>
      </w:r>
      <w:r w:rsidR="001247D1" w:rsidRPr="00C16334">
        <w:rPr>
          <w:rFonts w:ascii="Times New Roman" w:hAnsi="Times New Roman" w:cs="Times New Roman"/>
          <w:sz w:val="24"/>
          <w:szCs w:val="24"/>
        </w:rPr>
        <w:t>, i</w:t>
      </w:r>
      <w:r w:rsidRPr="00C16334">
        <w:rPr>
          <w:rFonts w:ascii="Times New Roman" w:hAnsi="Times New Roman" w:cs="Times New Roman"/>
          <w:sz w:val="24"/>
          <w:szCs w:val="24"/>
        </w:rPr>
        <w:t xml:space="preserve">l faut permettre à l’apprenant d’établir lui-même des liens entre les différents contextes dans lesquels </w:t>
      </w:r>
      <w:r w:rsidR="0055332C" w:rsidRPr="00C16334">
        <w:rPr>
          <w:rFonts w:ascii="Times New Roman" w:hAnsi="Times New Roman" w:cs="Times New Roman"/>
          <w:sz w:val="24"/>
          <w:szCs w:val="24"/>
        </w:rPr>
        <w:t>s</w:t>
      </w:r>
      <w:r w:rsidRPr="00C16334">
        <w:rPr>
          <w:rFonts w:ascii="Times New Roman" w:hAnsi="Times New Roman" w:cs="Times New Roman"/>
          <w:sz w:val="24"/>
          <w:szCs w:val="24"/>
        </w:rPr>
        <w:t xml:space="preserve">es </w:t>
      </w:r>
      <w:r w:rsidR="0055332C" w:rsidRPr="00C16334">
        <w:rPr>
          <w:rFonts w:ascii="Times New Roman" w:hAnsi="Times New Roman" w:cs="Times New Roman"/>
          <w:sz w:val="24"/>
          <w:szCs w:val="24"/>
        </w:rPr>
        <w:t xml:space="preserve">apprentissages </w:t>
      </w:r>
      <w:r w:rsidRPr="00C16334">
        <w:rPr>
          <w:rFonts w:ascii="Times New Roman" w:hAnsi="Times New Roman" w:cs="Times New Roman"/>
          <w:sz w:val="24"/>
          <w:szCs w:val="24"/>
        </w:rPr>
        <w:t xml:space="preserve">peuvent être pertinents. </w:t>
      </w:r>
    </w:p>
    <w:p w14:paraId="64C9BCB0" w14:textId="529F14B3" w:rsidR="00CC4F28" w:rsidRPr="00C16334" w:rsidRDefault="00CC4F28" w:rsidP="008709D2">
      <w:pPr>
        <w:spacing w:after="0" w:line="240" w:lineRule="auto"/>
        <w:rPr>
          <w:rFonts w:ascii="Times New Roman" w:hAnsi="Times New Roman" w:cs="Times New Roman"/>
          <w:sz w:val="24"/>
          <w:szCs w:val="24"/>
        </w:rPr>
      </w:pPr>
    </w:p>
    <w:p w14:paraId="5906EF77" w14:textId="27F8FF24" w:rsidR="00CC4F28" w:rsidRPr="00C16334" w:rsidRDefault="00CC4F28" w:rsidP="008709D2">
      <w:pPr>
        <w:spacing w:after="0" w:line="240" w:lineRule="auto"/>
        <w:rPr>
          <w:rFonts w:ascii="Times New Roman" w:hAnsi="Times New Roman" w:cs="Times New Roman"/>
          <w:sz w:val="24"/>
          <w:szCs w:val="24"/>
        </w:rPr>
      </w:pPr>
      <w:r w:rsidRPr="00C16334">
        <w:rPr>
          <w:rFonts w:ascii="Times New Roman" w:hAnsi="Times New Roman" w:cs="Times New Roman"/>
          <w:sz w:val="24"/>
          <w:szCs w:val="24"/>
        </w:rPr>
        <w:t>Plus précisément, durant la contextualisation, l’enseignant aide l’apprenant à diriger son attention sur la tâche, il l’aide à repêcher ses apprentissages antérieurs pertinents et il l’incite à se rappeler des situations semblables déjà rencontrées (Butterfield et Nelson, 1989; Tardif, 1992). De plus, l’enseignant guide l’apprenant dans une analyse explicite de la situation d’apprentissage et lui fournit des indicateurs précis de sa progression et de sa réussite (Butterfield et Nelson, 1989)</w:t>
      </w:r>
      <w:r w:rsidR="00333966" w:rsidRPr="00C16334">
        <w:rPr>
          <w:rFonts w:ascii="Times New Roman" w:hAnsi="Times New Roman" w:cs="Times New Roman"/>
          <w:sz w:val="24"/>
          <w:szCs w:val="24"/>
        </w:rPr>
        <w:t>. Ainsi, l’apprenant est bien situé dans son processus d’apprentissage.</w:t>
      </w:r>
      <w:r w:rsidRPr="00C16334">
        <w:rPr>
          <w:rFonts w:ascii="Times New Roman" w:hAnsi="Times New Roman" w:cs="Times New Roman"/>
          <w:sz w:val="24"/>
          <w:szCs w:val="24"/>
        </w:rPr>
        <w:t xml:space="preserve"> </w:t>
      </w:r>
    </w:p>
    <w:p w14:paraId="14F23E64" w14:textId="6E6788CD" w:rsidR="00333966" w:rsidRPr="00C16334" w:rsidRDefault="00333966" w:rsidP="00333966">
      <w:pPr>
        <w:spacing w:after="0" w:line="240" w:lineRule="auto"/>
        <w:rPr>
          <w:rFonts w:ascii="Times New Roman" w:hAnsi="Times New Roman" w:cs="Times New Roman"/>
          <w:sz w:val="24"/>
          <w:szCs w:val="24"/>
        </w:rPr>
      </w:pPr>
    </w:p>
    <w:p w14:paraId="14F81451" w14:textId="22507070" w:rsidR="00333966" w:rsidRPr="00C16334" w:rsidRDefault="00333966" w:rsidP="00333966">
      <w:pPr>
        <w:spacing w:after="0" w:line="240" w:lineRule="auto"/>
        <w:rPr>
          <w:rFonts w:ascii="Times New Roman" w:hAnsi="Times New Roman" w:cs="Times New Roman"/>
          <w:sz w:val="24"/>
          <w:szCs w:val="24"/>
        </w:rPr>
      </w:pPr>
      <w:r w:rsidRPr="00C16334">
        <w:rPr>
          <w:rFonts w:ascii="Times New Roman" w:hAnsi="Times New Roman" w:cs="Times New Roman"/>
          <w:sz w:val="24"/>
          <w:szCs w:val="24"/>
        </w:rPr>
        <w:t>Durant la décontextualisation, l’enseignant fait prendre conscience à l’apprenant de ce qu’il a appris. C’est un moment d’extraction et d’objectivation des apprentissages, un moment de soutien à la métacognition. L’enseignant fait faire des synth</w:t>
      </w:r>
      <w:r w:rsidR="002636F1" w:rsidRPr="00C16334">
        <w:rPr>
          <w:rFonts w:ascii="Times New Roman" w:hAnsi="Times New Roman" w:cs="Times New Roman"/>
          <w:sz w:val="24"/>
          <w:szCs w:val="24"/>
        </w:rPr>
        <w:t>è</w:t>
      </w:r>
      <w:r w:rsidRPr="00C16334">
        <w:rPr>
          <w:rFonts w:ascii="Times New Roman" w:hAnsi="Times New Roman" w:cs="Times New Roman"/>
          <w:sz w:val="24"/>
          <w:szCs w:val="24"/>
        </w:rPr>
        <w:t>ses aux apprenants et contribue à la conscienti</w:t>
      </w:r>
      <w:r w:rsidR="002636F1" w:rsidRPr="00C16334">
        <w:rPr>
          <w:rFonts w:ascii="Times New Roman" w:hAnsi="Times New Roman" w:cs="Times New Roman"/>
          <w:sz w:val="24"/>
          <w:szCs w:val="24"/>
        </w:rPr>
        <w:t>s</w:t>
      </w:r>
      <w:r w:rsidRPr="00C16334">
        <w:rPr>
          <w:rFonts w:ascii="Times New Roman" w:hAnsi="Times New Roman" w:cs="Times New Roman"/>
          <w:sz w:val="24"/>
          <w:szCs w:val="24"/>
        </w:rPr>
        <w:t>ation des apprentissages à retenir (Pr</w:t>
      </w:r>
      <w:r w:rsidR="002636F1" w:rsidRPr="00C16334">
        <w:rPr>
          <w:rFonts w:ascii="Times New Roman" w:hAnsi="Times New Roman" w:cs="Times New Roman"/>
          <w:sz w:val="24"/>
          <w:szCs w:val="24"/>
        </w:rPr>
        <w:t>esseau, 2000)</w:t>
      </w:r>
      <w:r w:rsidRPr="00C16334">
        <w:rPr>
          <w:rFonts w:ascii="Times New Roman" w:hAnsi="Times New Roman" w:cs="Times New Roman"/>
          <w:sz w:val="24"/>
          <w:szCs w:val="24"/>
        </w:rPr>
        <w:t>.</w:t>
      </w:r>
    </w:p>
    <w:p w14:paraId="5ACC41E6" w14:textId="1B5AC2D1" w:rsidR="00333966" w:rsidRPr="00C16334" w:rsidRDefault="00333966" w:rsidP="00333966">
      <w:pPr>
        <w:spacing w:after="0" w:line="240" w:lineRule="auto"/>
        <w:rPr>
          <w:rFonts w:ascii="Times New Roman" w:hAnsi="Times New Roman" w:cs="Times New Roman"/>
          <w:sz w:val="24"/>
          <w:szCs w:val="24"/>
        </w:rPr>
      </w:pPr>
    </w:p>
    <w:p w14:paraId="5BF96931" w14:textId="0471C1E0" w:rsidR="002636F1" w:rsidRPr="00C16334" w:rsidRDefault="00333966" w:rsidP="00C16334">
      <w:pPr>
        <w:spacing w:after="0" w:line="240" w:lineRule="auto"/>
        <w:rPr>
          <w:rFonts w:ascii="Times New Roman" w:hAnsi="Times New Roman" w:cs="Times New Roman"/>
          <w:sz w:val="24"/>
          <w:szCs w:val="24"/>
        </w:rPr>
      </w:pPr>
      <w:r w:rsidRPr="00C16334">
        <w:rPr>
          <w:rFonts w:ascii="Times New Roman" w:hAnsi="Times New Roman" w:cs="Times New Roman"/>
          <w:sz w:val="24"/>
          <w:szCs w:val="24"/>
        </w:rPr>
        <w:t>Enfin, durant la recontextuali</w:t>
      </w:r>
      <w:r w:rsidR="00C16334" w:rsidRPr="00C16334">
        <w:rPr>
          <w:rFonts w:ascii="Times New Roman" w:hAnsi="Times New Roman" w:cs="Times New Roman"/>
          <w:sz w:val="24"/>
          <w:szCs w:val="24"/>
        </w:rPr>
        <w:t>s</w:t>
      </w:r>
      <w:r w:rsidRPr="00C16334">
        <w:rPr>
          <w:rFonts w:ascii="Times New Roman" w:hAnsi="Times New Roman" w:cs="Times New Roman"/>
          <w:sz w:val="24"/>
          <w:szCs w:val="24"/>
        </w:rPr>
        <w:t xml:space="preserve">ation, </w:t>
      </w:r>
      <w:r w:rsidR="002636F1" w:rsidRPr="00C16334">
        <w:rPr>
          <w:rFonts w:ascii="Times New Roman" w:hAnsi="Times New Roman" w:cs="Times New Roman"/>
          <w:sz w:val="24"/>
          <w:szCs w:val="24"/>
        </w:rPr>
        <w:t>l’enseignant r</w:t>
      </w:r>
      <w:r w:rsidR="00C16334" w:rsidRPr="00C16334">
        <w:rPr>
          <w:rFonts w:ascii="Times New Roman" w:hAnsi="Times New Roman" w:cs="Times New Roman"/>
          <w:sz w:val="24"/>
          <w:szCs w:val="24"/>
        </w:rPr>
        <w:t>é</w:t>
      </w:r>
      <w:r w:rsidR="002636F1" w:rsidRPr="00C16334">
        <w:rPr>
          <w:rFonts w:ascii="Times New Roman" w:hAnsi="Times New Roman" w:cs="Times New Roman"/>
          <w:sz w:val="24"/>
          <w:szCs w:val="24"/>
        </w:rPr>
        <w:t>alise avec les apprenants une anticipation des activations ultérieures des apprentissages dans des situations de la même famille et il élabore avec eux des situations de réutilisation des acquis (Presseau, 2000). En d’autres mots, l’enseignant analyse et améliore le processus de résolution de problèmes futurs (</w:t>
      </w:r>
      <w:proofErr w:type="spellStart"/>
      <w:r w:rsidR="002636F1" w:rsidRPr="00C16334">
        <w:rPr>
          <w:rFonts w:ascii="Times New Roman" w:hAnsi="Times New Roman" w:cs="Times New Roman"/>
          <w:sz w:val="24"/>
          <w:szCs w:val="24"/>
        </w:rPr>
        <w:t>Astofli</w:t>
      </w:r>
      <w:proofErr w:type="spellEnd"/>
      <w:r w:rsidR="002636F1" w:rsidRPr="00C16334">
        <w:rPr>
          <w:rFonts w:ascii="Times New Roman" w:hAnsi="Times New Roman" w:cs="Times New Roman"/>
          <w:sz w:val="24"/>
          <w:szCs w:val="24"/>
        </w:rPr>
        <w:t xml:space="preserve">, 1997). </w:t>
      </w:r>
    </w:p>
    <w:p w14:paraId="3B699400" w14:textId="6CE9846E" w:rsidR="001247D1" w:rsidRPr="00C16334" w:rsidRDefault="001247D1" w:rsidP="00C16334">
      <w:pPr>
        <w:spacing w:after="0" w:line="240" w:lineRule="auto"/>
        <w:rPr>
          <w:rFonts w:ascii="Times New Roman" w:hAnsi="Times New Roman" w:cs="Times New Roman"/>
          <w:sz w:val="24"/>
          <w:szCs w:val="24"/>
        </w:rPr>
      </w:pPr>
    </w:p>
    <w:p w14:paraId="558A5E7B" w14:textId="5EB21650" w:rsidR="00C16334" w:rsidRDefault="00C16334" w:rsidP="00C16334">
      <w:pPr>
        <w:spacing w:after="0" w:line="240" w:lineRule="auto"/>
        <w:rPr>
          <w:rFonts w:ascii="Times New Roman" w:hAnsi="Times New Roman" w:cs="Times New Roman"/>
          <w:sz w:val="24"/>
          <w:szCs w:val="24"/>
        </w:rPr>
      </w:pPr>
    </w:p>
    <w:p w14:paraId="23D7FFBE" w14:textId="77777777" w:rsidR="000026B5" w:rsidRDefault="000026B5" w:rsidP="00C16334">
      <w:pPr>
        <w:spacing w:after="60" w:line="240" w:lineRule="auto"/>
        <w:rPr>
          <w:rFonts w:ascii="Times New Roman" w:hAnsi="Times New Roman" w:cs="Times New Roman"/>
          <w:b/>
          <w:sz w:val="24"/>
          <w:szCs w:val="24"/>
        </w:rPr>
      </w:pPr>
    </w:p>
    <w:p w14:paraId="18ACF47B" w14:textId="77777777" w:rsidR="007158E3" w:rsidRDefault="007158E3">
      <w:pPr>
        <w:rPr>
          <w:rFonts w:ascii="Times New Roman" w:hAnsi="Times New Roman" w:cs="Times New Roman"/>
          <w:b/>
          <w:sz w:val="24"/>
          <w:szCs w:val="24"/>
        </w:rPr>
      </w:pPr>
      <w:r>
        <w:rPr>
          <w:rFonts w:ascii="Times New Roman" w:hAnsi="Times New Roman" w:cs="Times New Roman"/>
          <w:b/>
          <w:sz w:val="24"/>
          <w:szCs w:val="24"/>
        </w:rPr>
        <w:br w:type="page"/>
      </w:r>
    </w:p>
    <w:p w14:paraId="52DE0B30" w14:textId="158E8C66" w:rsidR="007D079C" w:rsidRDefault="007D079C" w:rsidP="00C16334">
      <w:pPr>
        <w:spacing w:after="60" w:line="240" w:lineRule="auto"/>
        <w:rPr>
          <w:rFonts w:ascii="Times New Roman" w:hAnsi="Times New Roman" w:cs="Times New Roman"/>
          <w:b/>
          <w:sz w:val="24"/>
          <w:szCs w:val="24"/>
        </w:rPr>
      </w:pPr>
      <w:r w:rsidRPr="00C16334">
        <w:rPr>
          <w:rFonts w:ascii="Times New Roman" w:hAnsi="Times New Roman" w:cs="Times New Roman"/>
          <w:b/>
          <w:sz w:val="24"/>
          <w:szCs w:val="24"/>
        </w:rPr>
        <w:lastRenderedPageBreak/>
        <w:t>Références</w:t>
      </w:r>
    </w:p>
    <w:p w14:paraId="2B601871" w14:textId="0F3EF33E" w:rsidR="007D079C" w:rsidRPr="00C16334" w:rsidRDefault="007D079C" w:rsidP="00C16334">
      <w:pPr>
        <w:spacing w:after="60" w:line="240" w:lineRule="auto"/>
        <w:rPr>
          <w:rFonts w:ascii="Times New Roman" w:hAnsi="Times New Roman" w:cs="Times New Roman"/>
          <w:sz w:val="24"/>
          <w:szCs w:val="24"/>
        </w:rPr>
      </w:pPr>
      <w:r w:rsidRPr="00C16334">
        <w:rPr>
          <w:rFonts w:ascii="Times New Roman" w:hAnsi="Times New Roman" w:cs="Times New Roman"/>
          <w:sz w:val="24"/>
          <w:szCs w:val="24"/>
        </w:rPr>
        <w:t xml:space="preserve">Astolfi, J.-P. (1993). </w:t>
      </w:r>
      <w:r w:rsidRPr="00C16334">
        <w:rPr>
          <w:rFonts w:ascii="Times New Roman" w:hAnsi="Times New Roman" w:cs="Times New Roman"/>
          <w:i/>
          <w:sz w:val="24"/>
          <w:szCs w:val="24"/>
        </w:rPr>
        <w:t>L’école pour apprendre</w:t>
      </w:r>
      <w:r w:rsidRPr="00C16334">
        <w:rPr>
          <w:rFonts w:ascii="Times New Roman" w:hAnsi="Times New Roman" w:cs="Times New Roman"/>
          <w:sz w:val="24"/>
          <w:szCs w:val="24"/>
        </w:rPr>
        <w:t>. Éditions sociales françaises</w:t>
      </w:r>
    </w:p>
    <w:p w14:paraId="20965F06" w14:textId="70EEC63E" w:rsidR="007D079C" w:rsidRPr="00DC7840" w:rsidRDefault="007D079C" w:rsidP="00C16334">
      <w:pPr>
        <w:spacing w:after="60" w:line="240" w:lineRule="auto"/>
        <w:rPr>
          <w:rFonts w:ascii="Times New Roman" w:hAnsi="Times New Roman" w:cs="Times New Roman"/>
          <w:sz w:val="24"/>
          <w:szCs w:val="24"/>
          <w:lang w:val="en-US"/>
        </w:rPr>
      </w:pPr>
      <w:r w:rsidRPr="00C16334">
        <w:rPr>
          <w:rFonts w:ascii="Times New Roman" w:hAnsi="Times New Roman" w:cs="Times New Roman"/>
          <w:sz w:val="24"/>
          <w:szCs w:val="24"/>
        </w:rPr>
        <w:t>Barth B.-M. (1993)</w:t>
      </w:r>
      <w:r w:rsidRPr="00C16334">
        <w:rPr>
          <w:rFonts w:ascii="Times New Roman" w:hAnsi="Times New Roman" w:cs="Times New Roman"/>
          <w:i/>
          <w:sz w:val="24"/>
          <w:szCs w:val="24"/>
        </w:rPr>
        <w:t>. Le savoir en construction : former à une pédagogie de la compréhension</w:t>
      </w:r>
      <w:r w:rsidRPr="00C16334">
        <w:rPr>
          <w:rFonts w:ascii="Times New Roman" w:hAnsi="Times New Roman" w:cs="Times New Roman"/>
          <w:sz w:val="24"/>
          <w:szCs w:val="24"/>
        </w:rPr>
        <w:t xml:space="preserve">. </w:t>
      </w:r>
      <w:r w:rsidRPr="00DC7840">
        <w:rPr>
          <w:rFonts w:ascii="Times New Roman" w:hAnsi="Times New Roman" w:cs="Times New Roman"/>
          <w:sz w:val="24"/>
          <w:szCs w:val="24"/>
          <w:lang w:val="en-US"/>
        </w:rPr>
        <w:t>Éditions Retz.</w:t>
      </w:r>
    </w:p>
    <w:p w14:paraId="72F11D4F" w14:textId="77777777" w:rsidR="007D079C" w:rsidRPr="00C16334" w:rsidRDefault="007D079C" w:rsidP="00C16334">
      <w:pPr>
        <w:spacing w:after="60" w:line="240" w:lineRule="auto"/>
        <w:ind w:left="567" w:hanging="567"/>
        <w:jc w:val="both"/>
        <w:rPr>
          <w:rFonts w:ascii="Times New Roman" w:hAnsi="Times New Roman" w:cs="Times New Roman"/>
          <w:sz w:val="24"/>
          <w:szCs w:val="24"/>
        </w:rPr>
      </w:pPr>
      <w:r w:rsidRPr="00C16334">
        <w:rPr>
          <w:rFonts w:ascii="Times New Roman" w:hAnsi="Times New Roman" w:cs="Times New Roman"/>
          <w:sz w:val="24"/>
          <w:szCs w:val="24"/>
          <w:lang w:val="en-CA"/>
        </w:rPr>
        <w:t xml:space="preserve">Butterfield, E.C., &amp; Nelson, G.D. (1989). Theory and practice of teaching for transfer. </w:t>
      </w:r>
      <w:proofErr w:type="spellStart"/>
      <w:r w:rsidRPr="00C16334">
        <w:rPr>
          <w:rFonts w:ascii="Times New Roman" w:hAnsi="Times New Roman" w:cs="Times New Roman"/>
          <w:i/>
          <w:sz w:val="24"/>
          <w:szCs w:val="24"/>
        </w:rPr>
        <w:t>Educational</w:t>
      </w:r>
      <w:proofErr w:type="spellEnd"/>
      <w:r w:rsidRPr="00C16334">
        <w:rPr>
          <w:rFonts w:ascii="Times New Roman" w:hAnsi="Times New Roman" w:cs="Times New Roman"/>
          <w:i/>
          <w:sz w:val="24"/>
          <w:szCs w:val="24"/>
        </w:rPr>
        <w:t xml:space="preserve"> </w:t>
      </w:r>
      <w:proofErr w:type="spellStart"/>
      <w:r w:rsidRPr="00C16334">
        <w:rPr>
          <w:rFonts w:ascii="Times New Roman" w:hAnsi="Times New Roman" w:cs="Times New Roman"/>
          <w:i/>
          <w:sz w:val="24"/>
          <w:szCs w:val="24"/>
        </w:rPr>
        <w:t>Technology</w:t>
      </w:r>
      <w:proofErr w:type="spellEnd"/>
      <w:r w:rsidRPr="00C16334">
        <w:rPr>
          <w:rFonts w:ascii="Times New Roman" w:hAnsi="Times New Roman" w:cs="Times New Roman"/>
          <w:i/>
          <w:sz w:val="24"/>
          <w:szCs w:val="24"/>
        </w:rPr>
        <w:t xml:space="preserve"> </w:t>
      </w:r>
      <w:proofErr w:type="spellStart"/>
      <w:r w:rsidRPr="00C16334">
        <w:rPr>
          <w:rFonts w:ascii="Times New Roman" w:hAnsi="Times New Roman" w:cs="Times New Roman"/>
          <w:i/>
          <w:sz w:val="24"/>
          <w:szCs w:val="24"/>
        </w:rPr>
        <w:t>Research</w:t>
      </w:r>
      <w:proofErr w:type="spellEnd"/>
      <w:r w:rsidRPr="00C16334">
        <w:rPr>
          <w:rFonts w:ascii="Times New Roman" w:hAnsi="Times New Roman" w:cs="Times New Roman"/>
          <w:i/>
          <w:sz w:val="24"/>
          <w:szCs w:val="24"/>
        </w:rPr>
        <w:t xml:space="preserve"> and </w:t>
      </w:r>
      <w:proofErr w:type="spellStart"/>
      <w:r w:rsidRPr="00C16334">
        <w:rPr>
          <w:rFonts w:ascii="Times New Roman" w:hAnsi="Times New Roman" w:cs="Times New Roman"/>
          <w:i/>
          <w:sz w:val="24"/>
          <w:szCs w:val="24"/>
        </w:rPr>
        <w:t>Development</w:t>
      </w:r>
      <w:proofErr w:type="spellEnd"/>
      <w:r w:rsidRPr="00C16334">
        <w:rPr>
          <w:rFonts w:ascii="Times New Roman" w:hAnsi="Times New Roman" w:cs="Times New Roman"/>
          <w:sz w:val="24"/>
          <w:szCs w:val="24"/>
        </w:rPr>
        <w:t xml:space="preserve">, </w:t>
      </w:r>
      <w:r w:rsidRPr="00C16334">
        <w:rPr>
          <w:rFonts w:ascii="Times New Roman" w:hAnsi="Times New Roman" w:cs="Times New Roman"/>
          <w:i/>
          <w:sz w:val="24"/>
          <w:szCs w:val="24"/>
        </w:rPr>
        <w:t>37</w:t>
      </w:r>
      <w:r w:rsidRPr="00C16334">
        <w:rPr>
          <w:rFonts w:ascii="Times New Roman" w:hAnsi="Times New Roman" w:cs="Times New Roman"/>
          <w:sz w:val="24"/>
          <w:szCs w:val="24"/>
        </w:rPr>
        <w:t>(3), 5-38.</w:t>
      </w:r>
    </w:p>
    <w:p w14:paraId="26FE4468" w14:textId="77777777" w:rsidR="007D079C" w:rsidRPr="00C16334" w:rsidRDefault="007D079C" w:rsidP="00C16334">
      <w:pPr>
        <w:spacing w:after="60" w:line="240" w:lineRule="auto"/>
        <w:ind w:left="567" w:hanging="567"/>
        <w:rPr>
          <w:rFonts w:ascii="Times New Roman" w:hAnsi="Times New Roman" w:cs="Times New Roman"/>
          <w:sz w:val="24"/>
          <w:szCs w:val="24"/>
        </w:rPr>
      </w:pPr>
      <w:r w:rsidRPr="00C16334">
        <w:rPr>
          <w:rFonts w:ascii="Times New Roman" w:hAnsi="Times New Roman" w:cs="Times New Roman"/>
          <w:sz w:val="24"/>
          <w:szCs w:val="24"/>
        </w:rPr>
        <w:t xml:space="preserve">Gagnaire, P. (2002). Reconnaître les bricoleurs. </w:t>
      </w:r>
      <w:r w:rsidRPr="00C16334">
        <w:rPr>
          <w:rFonts w:ascii="Times New Roman" w:hAnsi="Times New Roman" w:cs="Times New Roman"/>
          <w:i/>
          <w:sz w:val="24"/>
          <w:szCs w:val="24"/>
        </w:rPr>
        <w:t>Les cahiers pédagogiques</w:t>
      </w:r>
      <w:r w:rsidRPr="00C16334">
        <w:rPr>
          <w:rFonts w:ascii="Times New Roman" w:hAnsi="Times New Roman" w:cs="Times New Roman"/>
          <w:sz w:val="24"/>
          <w:szCs w:val="24"/>
        </w:rPr>
        <w:t xml:space="preserve">, </w:t>
      </w:r>
      <w:r w:rsidRPr="00C16334">
        <w:rPr>
          <w:rFonts w:ascii="Times New Roman" w:hAnsi="Times New Roman" w:cs="Times New Roman"/>
          <w:i/>
          <w:sz w:val="24"/>
          <w:szCs w:val="24"/>
        </w:rPr>
        <w:t>408</w:t>
      </w:r>
      <w:r w:rsidRPr="00C16334">
        <w:rPr>
          <w:rFonts w:ascii="Times New Roman" w:hAnsi="Times New Roman" w:cs="Times New Roman"/>
          <w:sz w:val="24"/>
          <w:szCs w:val="24"/>
        </w:rPr>
        <w:t>, 27-28.</w:t>
      </w:r>
    </w:p>
    <w:p w14:paraId="0393020E" w14:textId="77777777" w:rsidR="007D079C" w:rsidRPr="00F1099E" w:rsidRDefault="007D079C" w:rsidP="00C16334">
      <w:pPr>
        <w:spacing w:after="60" w:line="240" w:lineRule="auto"/>
        <w:ind w:left="567" w:hanging="567"/>
        <w:rPr>
          <w:rFonts w:ascii="Times New Roman" w:hAnsi="Times New Roman" w:cs="Times New Roman"/>
          <w:sz w:val="24"/>
          <w:szCs w:val="24"/>
        </w:rPr>
      </w:pPr>
      <w:proofErr w:type="spellStart"/>
      <w:r w:rsidRPr="00C16334">
        <w:rPr>
          <w:rFonts w:ascii="Times New Roman" w:hAnsi="Times New Roman" w:cs="Times New Roman"/>
          <w:sz w:val="24"/>
          <w:szCs w:val="24"/>
        </w:rPr>
        <w:t>Jonnaert</w:t>
      </w:r>
      <w:proofErr w:type="spellEnd"/>
      <w:r w:rsidRPr="00C16334">
        <w:rPr>
          <w:rFonts w:ascii="Times New Roman" w:hAnsi="Times New Roman" w:cs="Times New Roman"/>
          <w:sz w:val="24"/>
          <w:szCs w:val="24"/>
        </w:rPr>
        <w:t>,</w:t>
      </w:r>
      <w:r w:rsidRPr="00F1099E">
        <w:rPr>
          <w:rFonts w:ascii="Times New Roman" w:hAnsi="Times New Roman" w:cs="Times New Roman"/>
          <w:sz w:val="24"/>
          <w:szCs w:val="24"/>
        </w:rPr>
        <w:t xml:space="preserve"> P. (2002). Une notion tenace. </w:t>
      </w:r>
      <w:r w:rsidRPr="00F1099E">
        <w:rPr>
          <w:rFonts w:ascii="Times New Roman" w:hAnsi="Times New Roman" w:cs="Times New Roman"/>
          <w:i/>
          <w:sz w:val="24"/>
          <w:szCs w:val="24"/>
        </w:rPr>
        <w:t>Les cahiers pédagogiques</w:t>
      </w:r>
      <w:r w:rsidRPr="00F1099E">
        <w:rPr>
          <w:rFonts w:ascii="Times New Roman" w:hAnsi="Times New Roman" w:cs="Times New Roman"/>
          <w:sz w:val="24"/>
          <w:szCs w:val="24"/>
        </w:rPr>
        <w:t xml:space="preserve">, </w:t>
      </w:r>
      <w:r w:rsidRPr="00F1099E">
        <w:rPr>
          <w:rFonts w:ascii="Times New Roman" w:hAnsi="Times New Roman" w:cs="Times New Roman"/>
          <w:i/>
          <w:sz w:val="24"/>
          <w:szCs w:val="24"/>
        </w:rPr>
        <w:t>408</w:t>
      </w:r>
      <w:r w:rsidRPr="00F1099E">
        <w:rPr>
          <w:rFonts w:ascii="Times New Roman" w:hAnsi="Times New Roman" w:cs="Times New Roman"/>
          <w:sz w:val="24"/>
          <w:szCs w:val="24"/>
        </w:rPr>
        <w:t>, 11-12.</w:t>
      </w:r>
    </w:p>
    <w:p w14:paraId="39C2965F" w14:textId="77777777" w:rsidR="007D079C" w:rsidRPr="00F1099E" w:rsidRDefault="007D079C" w:rsidP="00C16334">
      <w:pPr>
        <w:spacing w:after="60" w:line="240" w:lineRule="auto"/>
        <w:ind w:left="567" w:hanging="567"/>
        <w:rPr>
          <w:rFonts w:ascii="Times New Roman" w:hAnsi="Times New Roman" w:cs="Times New Roman"/>
          <w:sz w:val="24"/>
          <w:szCs w:val="24"/>
        </w:rPr>
      </w:pPr>
      <w:r w:rsidRPr="00F1099E">
        <w:rPr>
          <w:rFonts w:ascii="Times New Roman" w:hAnsi="Times New Roman" w:cs="Times New Roman"/>
          <w:sz w:val="24"/>
          <w:szCs w:val="24"/>
        </w:rPr>
        <w:t xml:space="preserve">Perrenoud, P. (2002). Mobiliser les savoirs. </w:t>
      </w:r>
      <w:r w:rsidRPr="00F1099E">
        <w:rPr>
          <w:rFonts w:ascii="Times New Roman" w:hAnsi="Times New Roman" w:cs="Times New Roman"/>
          <w:i/>
          <w:sz w:val="24"/>
          <w:szCs w:val="24"/>
        </w:rPr>
        <w:t>Les cahiers pédagogiques</w:t>
      </w:r>
      <w:r w:rsidRPr="00F1099E">
        <w:rPr>
          <w:rFonts w:ascii="Times New Roman" w:hAnsi="Times New Roman" w:cs="Times New Roman"/>
          <w:sz w:val="24"/>
          <w:szCs w:val="24"/>
        </w:rPr>
        <w:t xml:space="preserve">, </w:t>
      </w:r>
      <w:r w:rsidRPr="00F1099E">
        <w:rPr>
          <w:rFonts w:ascii="Times New Roman" w:hAnsi="Times New Roman" w:cs="Times New Roman"/>
          <w:i/>
          <w:sz w:val="24"/>
          <w:szCs w:val="24"/>
        </w:rPr>
        <w:t>408</w:t>
      </w:r>
      <w:r w:rsidRPr="00F1099E">
        <w:rPr>
          <w:rFonts w:ascii="Times New Roman" w:hAnsi="Times New Roman" w:cs="Times New Roman"/>
          <w:sz w:val="24"/>
          <w:szCs w:val="24"/>
        </w:rPr>
        <w:t>, 39-40.</w:t>
      </w:r>
    </w:p>
    <w:p w14:paraId="1F372649" w14:textId="720E200A" w:rsidR="00F14731" w:rsidRPr="008C3750" w:rsidRDefault="008C3750" w:rsidP="00C16334">
      <w:pPr>
        <w:spacing w:after="60" w:line="240" w:lineRule="auto"/>
        <w:ind w:left="567" w:hanging="567"/>
        <w:rPr>
          <w:rFonts w:ascii="Times New Roman" w:hAnsi="Times New Roman" w:cs="Times New Roman"/>
          <w:sz w:val="24"/>
          <w:szCs w:val="24"/>
        </w:rPr>
      </w:pPr>
      <w:bookmarkStart w:id="2" w:name="_Hlk137191550"/>
      <w:r>
        <w:rPr>
          <w:rFonts w:ascii="Times New Roman" w:hAnsi="Times New Roman" w:cs="Times New Roman"/>
          <w:sz w:val="24"/>
          <w:szCs w:val="24"/>
        </w:rPr>
        <w:t xml:space="preserve">Presseau, A., Sauvageau, C., Soucy, E., &amp; Clark, K.-A. (2023). Favoriser le transfert des apprentissages chez les élèves qui rencontrent des difficultés à l’école. </w:t>
      </w:r>
      <w:r>
        <w:rPr>
          <w:rFonts w:ascii="Times New Roman" w:hAnsi="Times New Roman" w:cs="Times New Roman"/>
          <w:i/>
          <w:sz w:val="24"/>
          <w:szCs w:val="24"/>
        </w:rPr>
        <w:t xml:space="preserve">Vivre le primaire, numéro spécial, printemps 2023, </w:t>
      </w:r>
      <w:r>
        <w:rPr>
          <w:rFonts w:ascii="Times New Roman" w:hAnsi="Times New Roman" w:cs="Times New Roman"/>
          <w:sz w:val="24"/>
          <w:szCs w:val="24"/>
        </w:rPr>
        <w:t>21-27.</w:t>
      </w:r>
    </w:p>
    <w:bookmarkEnd w:id="2"/>
    <w:p w14:paraId="790F98B2" w14:textId="5F2B67BA" w:rsidR="007D079C" w:rsidRDefault="007D079C" w:rsidP="00C16334">
      <w:pPr>
        <w:spacing w:after="60" w:line="240" w:lineRule="auto"/>
        <w:ind w:left="567" w:hanging="567"/>
        <w:rPr>
          <w:rFonts w:ascii="Times New Roman" w:hAnsi="Times New Roman" w:cs="Times New Roman"/>
          <w:sz w:val="24"/>
          <w:szCs w:val="24"/>
        </w:rPr>
      </w:pPr>
      <w:r w:rsidRPr="004A4647">
        <w:rPr>
          <w:rFonts w:ascii="Times New Roman" w:hAnsi="Times New Roman" w:cs="Times New Roman"/>
          <w:sz w:val="24"/>
          <w:szCs w:val="24"/>
        </w:rPr>
        <w:t>Presseau, A. (2003). La gestion du transfert des apprentissages. Dans C. Gauthier, J.-F. Desbiens, &amp; S.</w:t>
      </w:r>
      <w:r w:rsidR="00333966">
        <w:rPr>
          <w:rFonts w:ascii="Times New Roman" w:hAnsi="Times New Roman" w:cs="Times New Roman"/>
          <w:sz w:val="24"/>
          <w:szCs w:val="24"/>
        </w:rPr>
        <w:t xml:space="preserve"> </w:t>
      </w:r>
      <w:r w:rsidRPr="004A4647">
        <w:rPr>
          <w:rFonts w:ascii="Times New Roman" w:hAnsi="Times New Roman" w:cs="Times New Roman"/>
          <w:sz w:val="24"/>
          <w:szCs w:val="24"/>
        </w:rPr>
        <w:t xml:space="preserve">Martineau, </w:t>
      </w:r>
      <w:r w:rsidRPr="004A4647">
        <w:rPr>
          <w:rFonts w:ascii="Times New Roman" w:hAnsi="Times New Roman" w:cs="Times New Roman"/>
          <w:i/>
          <w:sz w:val="24"/>
          <w:szCs w:val="24"/>
        </w:rPr>
        <w:t>Mots de passe pour mieux enseigner</w:t>
      </w:r>
      <w:r>
        <w:rPr>
          <w:rFonts w:ascii="Times New Roman" w:hAnsi="Times New Roman" w:cs="Times New Roman"/>
          <w:i/>
          <w:sz w:val="24"/>
          <w:szCs w:val="24"/>
        </w:rPr>
        <w:t xml:space="preserve"> </w:t>
      </w:r>
      <w:r>
        <w:rPr>
          <w:rFonts w:ascii="Times New Roman" w:hAnsi="Times New Roman" w:cs="Times New Roman"/>
          <w:sz w:val="24"/>
          <w:szCs w:val="24"/>
        </w:rPr>
        <w:t>(pp. 107-141)</w:t>
      </w:r>
      <w:r w:rsidRPr="004A4647">
        <w:rPr>
          <w:rFonts w:ascii="Times New Roman" w:hAnsi="Times New Roman" w:cs="Times New Roman"/>
          <w:sz w:val="24"/>
          <w:szCs w:val="24"/>
        </w:rPr>
        <w:t xml:space="preserve">. </w:t>
      </w:r>
      <w:r>
        <w:rPr>
          <w:rFonts w:ascii="Times New Roman" w:hAnsi="Times New Roman" w:cs="Times New Roman"/>
          <w:sz w:val="24"/>
          <w:szCs w:val="24"/>
        </w:rPr>
        <w:t>Presses de l’Université Laval</w:t>
      </w:r>
      <w:r w:rsidRPr="004A4647">
        <w:rPr>
          <w:rFonts w:ascii="Times New Roman" w:hAnsi="Times New Roman" w:cs="Times New Roman"/>
          <w:sz w:val="24"/>
          <w:szCs w:val="24"/>
        </w:rPr>
        <w:t>.</w:t>
      </w:r>
    </w:p>
    <w:p w14:paraId="6661CADD" w14:textId="77777777" w:rsidR="007D079C" w:rsidRPr="00F1099E" w:rsidRDefault="007D079C" w:rsidP="00C16334">
      <w:pPr>
        <w:spacing w:after="60" w:line="240" w:lineRule="auto"/>
        <w:ind w:left="567" w:hanging="567"/>
        <w:rPr>
          <w:rFonts w:ascii="Times New Roman" w:hAnsi="Times New Roman" w:cs="Times New Roman"/>
          <w:sz w:val="24"/>
          <w:szCs w:val="24"/>
        </w:rPr>
      </w:pPr>
      <w:r w:rsidRPr="00F1099E">
        <w:rPr>
          <w:rFonts w:ascii="Times New Roman" w:hAnsi="Times New Roman" w:cs="Times New Roman"/>
          <w:sz w:val="24"/>
          <w:szCs w:val="24"/>
        </w:rPr>
        <w:t xml:space="preserve">Presseau, A. (2000). Analyse de l’efficacité d’interventions sur le transfert des apprentissages en mathématiques. </w:t>
      </w:r>
      <w:r w:rsidRPr="00F1099E">
        <w:rPr>
          <w:rFonts w:ascii="Times New Roman" w:hAnsi="Times New Roman" w:cs="Times New Roman"/>
          <w:i/>
          <w:sz w:val="24"/>
          <w:szCs w:val="24"/>
        </w:rPr>
        <w:t>Revue des sciences de l’éducation</w:t>
      </w:r>
      <w:r w:rsidRPr="00F1099E">
        <w:rPr>
          <w:rFonts w:ascii="Times New Roman" w:hAnsi="Times New Roman" w:cs="Times New Roman"/>
          <w:sz w:val="24"/>
          <w:szCs w:val="24"/>
        </w:rPr>
        <w:t xml:space="preserve">, </w:t>
      </w:r>
      <w:r w:rsidRPr="00F1099E">
        <w:rPr>
          <w:rFonts w:ascii="Times New Roman" w:hAnsi="Times New Roman" w:cs="Times New Roman"/>
          <w:i/>
          <w:sz w:val="24"/>
          <w:szCs w:val="24"/>
        </w:rPr>
        <w:t>26</w:t>
      </w:r>
      <w:r w:rsidRPr="00F1099E">
        <w:rPr>
          <w:rFonts w:ascii="Times New Roman" w:hAnsi="Times New Roman" w:cs="Times New Roman"/>
          <w:sz w:val="24"/>
          <w:szCs w:val="24"/>
        </w:rPr>
        <w:t>(3), 515-544.</w:t>
      </w:r>
    </w:p>
    <w:p w14:paraId="50B07732" w14:textId="3C866172" w:rsidR="007D079C" w:rsidRPr="00F1099E" w:rsidRDefault="007D079C" w:rsidP="00C16334">
      <w:pPr>
        <w:spacing w:after="60" w:line="240" w:lineRule="auto"/>
        <w:ind w:left="567" w:hanging="567"/>
        <w:rPr>
          <w:rFonts w:ascii="Times New Roman" w:hAnsi="Times New Roman" w:cs="Times New Roman"/>
          <w:sz w:val="24"/>
          <w:szCs w:val="24"/>
        </w:rPr>
      </w:pPr>
      <w:r w:rsidRPr="00F1099E">
        <w:rPr>
          <w:rFonts w:ascii="Times New Roman" w:hAnsi="Times New Roman" w:cs="Times New Roman"/>
          <w:sz w:val="24"/>
          <w:szCs w:val="24"/>
        </w:rPr>
        <w:t xml:space="preserve">Tardif, J. (1992). </w:t>
      </w:r>
      <w:r w:rsidRPr="00F1099E">
        <w:rPr>
          <w:rFonts w:ascii="Times New Roman" w:hAnsi="Times New Roman" w:cs="Times New Roman"/>
          <w:i/>
          <w:sz w:val="24"/>
          <w:szCs w:val="24"/>
        </w:rPr>
        <w:t>Pour un enseignement stratégique. L’apport de la psychologie cognitive</w:t>
      </w:r>
      <w:r w:rsidRPr="00F1099E">
        <w:rPr>
          <w:rFonts w:ascii="Times New Roman" w:hAnsi="Times New Roman" w:cs="Times New Roman"/>
          <w:sz w:val="24"/>
          <w:szCs w:val="24"/>
        </w:rPr>
        <w:t>. Éditions Logiques.</w:t>
      </w:r>
    </w:p>
    <w:p w14:paraId="1CD99D1F" w14:textId="4BD29767" w:rsidR="007D079C" w:rsidRPr="00F1099E" w:rsidRDefault="007D079C" w:rsidP="00C16334">
      <w:pPr>
        <w:spacing w:after="60" w:line="240" w:lineRule="auto"/>
        <w:ind w:left="567" w:hanging="567"/>
        <w:rPr>
          <w:rFonts w:ascii="Times New Roman" w:hAnsi="Times New Roman" w:cs="Times New Roman"/>
          <w:sz w:val="24"/>
          <w:szCs w:val="24"/>
        </w:rPr>
      </w:pPr>
      <w:r w:rsidRPr="00F1099E">
        <w:rPr>
          <w:rFonts w:ascii="Times New Roman" w:hAnsi="Times New Roman" w:cs="Times New Roman"/>
          <w:sz w:val="24"/>
          <w:szCs w:val="24"/>
        </w:rPr>
        <w:t xml:space="preserve">Tardif, J. (1999). </w:t>
      </w:r>
      <w:r w:rsidRPr="00F1099E">
        <w:rPr>
          <w:rFonts w:ascii="Times New Roman" w:hAnsi="Times New Roman" w:cs="Times New Roman"/>
          <w:i/>
          <w:sz w:val="24"/>
          <w:szCs w:val="24"/>
        </w:rPr>
        <w:t>Le transfert des apprentissages</w:t>
      </w:r>
      <w:r w:rsidRPr="00F1099E">
        <w:rPr>
          <w:rFonts w:ascii="Times New Roman" w:hAnsi="Times New Roman" w:cs="Times New Roman"/>
          <w:sz w:val="24"/>
          <w:szCs w:val="24"/>
        </w:rPr>
        <w:t>. Éd</w:t>
      </w:r>
      <w:r w:rsidR="00C16334">
        <w:rPr>
          <w:rFonts w:ascii="Times New Roman" w:hAnsi="Times New Roman" w:cs="Times New Roman"/>
          <w:sz w:val="24"/>
          <w:szCs w:val="24"/>
        </w:rPr>
        <w:t>itions</w:t>
      </w:r>
      <w:r w:rsidRPr="00F1099E">
        <w:rPr>
          <w:rFonts w:ascii="Times New Roman" w:hAnsi="Times New Roman" w:cs="Times New Roman"/>
          <w:sz w:val="24"/>
          <w:szCs w:val="24"/>
        </w:rPr>
        <w:t xml:space="preserve"> Logiques.</w:t>
      </w:r>
    </w:p>
    <w:p w14:paraId="636D6D93" w14:textId="77777777" w:rsidR="007D079C" w:rsidRPr="00F1099E" w:rsidRDefault="007D079C" w:rsidP="00C16334">
      <w:pPr>
        <w:spacing w:after="60" w:line="240" w:lineRule="auto"/>
        <w:ind w:left="567" w:hanging="567"/>
        <w:rPr>
          <w:rFonts w:ascii="Times New Roman" w:hAnsi="Times New Roman" w:cs="Times New Roman"/>
          <w:sz w:val="24"/>
          <w:szCs w:val="24"/>
        </w:rPr>
      </w:pPr>
      <w:r w:rsidRPr="00F1099E">
        <w:rPr>
          <w:rFonts w:ascii="Times New Roman" w:hAnsi="Times New Roman" w:cs="Times New Roman"/>
          <w:sz w:val="24"/>
          <w:szCs w:val="24"/>
        </w:rPr>
        <w:t xml:space="preserve">Tardif, J., &amp; Meirieu, P. (1996). Stratégie en vue de favoriser le transfert des connaissances. </w:t>
      </w:r>
      <w:r w:rsidRPr="00F1099E">
        <w:rPr>
          <w:rFonts w:ascii="Times New Roman" w:hAnsi="Times New Roman" w:cs="Times New Roman"/>
          <w:i/>
          <w:sz w:val="24"/>
          <w:szCs w:val="24"/>
        </w:rPr>
        <w:t>Vie pédagogique</w:t>
      </w:r>
      <w:r w:rsidRPr="00F1099E">
        <w:rPr>
          <w:rFonts w:ascii="Times New Roman" w:hAnsi="Times New Roman" w:cs="Times New Roman"/>
          <w:sz w:val="24"/>
          <w:szCs w:val="24"/>
        </w:rPr>
        <w:t xml:space="preserve">, </w:t>
      </w:r>
      <w:r w:rsidRPr="00F1099E">
        <w:rPr>
          <w:rFonts w:ascii="Times New Roman" w:hAnsi="Times New Roman" w:cs="Times New Roman"/>
          <w:i/>
          <w:sz w:val="24"/>
          <w:szCs w:val="24"/>
        </w:rPr>
        <w:t>98</w:t>
      </w:r>
      <w:r w:rsidRPr="00F1099E">
        <w:rPr>
          <w:rFonts w:ascii="Times New Roman" w:hAnsi="Times New Roman" w:cs="Times New Roman"/>
          <w:sz w:val="24"/>
          <w:szCs w:val="24"/>
        </w:rPr>
        <w:t>, 4-7.</w:t>
      </w:r>
    </w:p>
    <w:p w14:paraId="78118CE5" w14:textId="2790B44E" w:rsidR="007D079C" w:rsidRPr="00F1099E" w:rsidRDefault="007D079C" w:rsidP="00C16334">
      <w:pPr>
        <w:spacing w:after="60" w:line="240" w:lineRule="auto"/>
        <w:ind w:left="567" w:hanging="567"/>
        <w:rPr>
          <w:rFonts w:ascii="Times New Roman" w:hAnsi="Times New Roman" w:cs="Times New Roman"/>
          <w:sz w:val="24"/>
          <w:szCs w:val="24"/>
        </w:rPr>
      </w:pPr>
      <w:proofErr w:type="spellStart"/>
      <w:r w:rsidRPr="00F1099E">
        <w:rPr>
          <w:rFonts w:ascii="Times New Roman" w:hAnsi="Times New Roman" w:cs="Times New Roman"/>
          <w:sz w:val="24"/>
          <w:szCs w:val="24"/>
        </w:rPr>
        <w:t>Roegiers</w:t>
      </w:r>
      <w:proofErr w:type="spellEnd"/>
      <w:r w:rsidRPr="00F1099E">
        <w:rPr>
          <w:rFonts w:ascii="Times New Roman" w:hAnsi="Times New Roman" w:cs="Times New Roman"/>
          <w:sz w:val="24"/>
          <w:szCs w:val="24"/>
        </w:rPr>
        <w:t xml:space="preserve">, X. (2000). </w:t>
      </w:r>
      <w:r w:rsidRPr="00F1099E">
        <w:rPr>
          <w:rFonts w:ascii="Times New Roman" w:hAnsi="Times New Roman" w:cs="Times New Roman"/>
          <w:i/>
          <w:sz w:val="24"/>
          <w:szCs w:val="24"/>
        </w:rPr>
        <w:t>Une pédagogie de l’intégration. Compétences et intégration des acquis dans l’enseignement.</w:t>
      </w:r>
      <w:r w:rsidRPr="00F1099E">
        <w:rPr>
          <w:rFonts w:ascii="Times New Roman" w:hAnsi="Times New Roman" w:cs="Times New Roman"/>
          <w:sz w:val="24"/>
          <w:szCs w:val="24"/>
        </w:rPr>
        <w:t xml:space="preserve"> De Boeck.</w:t>
      </w:r>
    </w:p>
    <w:p w14:paraId="49F37EE3" w14:textId="046409B8" w:rsidR="002E3A0A" w:rsidRDefault="002E3A0A" w:rsidP="00C16334">
      <w:pPr>
        <w:spacing w:after="0" w:line="240" w:lineRule="auto"/>
        <w:rPr>
          <w:rFonts w:ascii="Times New Roman" w:hAnsi="Times New Roman" w:cs="Times New Roman"/>
          <w:sz w:val="24"/>
          <w:szCs w:val="24"/>
        </w:rPr>
      </w:pPr>
    </w:p>
    <w:p w14:paraId="0CD596DD" w14:textId="7909468B" w:rsidR="00D37F43" w:rsidRDefault="00D37F43" w:rsidP="00C16334">
      <w:pPr>
        <w:spacing w:after="0" w:line="240" w:lineRule="auto"/>
        <w:rPr>
          <w:rFonts w:ascii="Times New Roman" w:hAnsi="Times New Roman" w:cs="Times New Roman"/>
          <w:sz w:val="24"/>
          <w:szCs w:val="24"/>
        </w:rPr>
      </w:pPr>
    </w:p>
    <w:p w14:paraId="43C826E8" w14:textId="750170C0" w:rsidR="00D50530" w:rsidRDefault="00D50530" w:rsidP="00D50530">
      <w:pPr>
        <w:spacing w:after="0" w:line="240" w:lineRule="auto"/>
        <w:jc w:val="center"/>
        <w:rPr>
          <w:rFonts w:ascii="Times New Roman" w:hAnsi="Times New Roman" w:cs="Times New Roman"/>
          <w:sz w:val="28"/>
          <w:szCs w:val="28"/>
        </w:rPr>
      </w:pPr>
      <w:r w:rsidRPr="00FD0B76">
        <w:rPr>
          <w:rFonts w:ascii="Calibri" w:eastAsia="Calibri" w:hAnsi="Calibri" w:cs="Times New Roman"/>
          <w:noProof/>
          <w:lang w:eastAsia="fr-CA"/>
        </w:rPr>
        <w:drawing>
          <wp:inline distT="0" distB="0" distL="0" distR="0" wp14:anchorId="7089709D" wp14:editId="63B22B2C">
            <wp:extent cx="838200" cy="295275"/>
            <wp:effectExtent l="0" t="0" r="0" b="9525"/>
            <wp:docPr id="3" name="Image 3" descr="Licence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8A3CB8">
        <w:rPr>
          <w:rFonts w:ascii="Calibri" w:eastAsia="Calibri" w:hAnsi="Calibri" w:cs="Times New Roman"/>
        </w:rPr>
        <w:t>4</w:t>
      </w:r>
      <w:r>
        <w:rPr>
          <w:rFonts w:ascii="Calibri" w:eastAsia="Calibri" w:hAnsi="Calibri" w:cs="Times New Roman"/>
        </w:rPr>
        <w:t xml:space="preserve">      </w:t>
      </w:r>
      <w:r>
        <w:rPr>
          <w:rFonts w:ascii="Calibri" w:eastAsia="Calibri" w:hAnsi="Calibri" w:cs="Times New Roman"/>
          <w:i/>
        </w:rPr>
        <w:t xml:space="preserve">Favoriser le transfert des </w:t>
      </w:r>
      <w:r w:rsidRPr="00FE1E84">
        <w:rPr>
          <w:rFonts w:ascii="Calibri" w:eastAsia="Calibri" w:hAnsi="Calibri" w:cs="Times New Roman"/>
          <w:i/>
        </w:rPr>
        <w:t>apprentissage</w:t>
      </w:r>
      <w:r>
        <w:rPr>
          <w:rFonts w:ascii="Calibri" w:eastAsia="Calibri" w:hAnsi="Calibri" w:cs="Times New Roman"/>
          <w:i/>
        </w:rPr>
        <w:t xml:space="preserve">s (version </w:t>
      </w:r>
      <w:r w:rsidR="00DC7840">
        <w:rPr>
          <w:rFonts w:ascii="Calibri" w:eastAsia="Calibri" w:hAnsi="Calibri" w:cs="Times New Roman"/>
          <w:i/>
        </w:rPr>
        <w:t>longue</w:t>
      </w:r>
      <w:r>
        <w:rPr>
          <w:rFonts w:ascii="Calibri" w:eastAsia="Calibri" w:hAnsi="Calibri" w:cs="Times New Roman"/>
          <w:i/>
        </w:rPr>
        <w:t>).</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w:t>
      </w:r>
      <w:r>
        <w:rPr>
          <w:rFonts w:ascii="Calibri" w:eastAsia="Calibri" w:hAnsi="Calibri" w:cs="Times New Roman"/>
        </w:rPr>
        <w:t>K. Renaud</w:t>
      </w:r>
      <w:r w:rsidRPr="00FD0B76">
        <w:rPr>
          <w:rFonts w:ascii="Calibri" w:eastAsia="Calibri" w:hAnsi="Calibri" w:cs="Times New Roman"/>
        </w:rPr>
        <w:t xml:space="preserve"> &amp; </w:t>
      </w:r>
      <w:r>
        <w:rPr>
          <w:rFonts w:ascii="Calibri" w:eastAsia="Calibri" w:hAnsi="Calibri" w:cs="Times New Roman"/>
        </w:rPr>
        <w:t>C</w:t>
      </w:r>
      <w:r w:rsidRPr="00FD0B76">
        <w:rPr>
          <w:rFonts w:ascii="Calibri" w:eastAsia="Calibri" w:hAnsi="Calibri" w:cs="Times New Roman"/>
        </w:rPr>
        <w:t xml:space="preserve">. </w:t>
      </w:r>
      <w:r>
        <w:rPr>
          <w:rFonts w:ascii="Calibri" w:eastAsia="Calibri" w:hAnsi="Calibri" w:cs="Times New Roman"/>
        </w:rPr>
        <w:t>Leblanc</w:t>
      </w:r>
      <w:r w:rsidRPr="00FD0B76">
        <w:rPr>
          <w:rFonts w:ascii="Calibri" w:eastAsia="Calibri" w:hAnsi="Calibri" w:cs="Times New Roman"/>
        </w:rPr>
        <w:t xml:space="preserve"> est mis à disposition selon les termes de la licence Creative Commons Attribution - Pas d’Utilisation Commerciale - Partage dans les Mêmes Conditions 4.0 International</w:t>
      </w:r>
    </w:p>
    <w:p w14:paraId="73E42D6A" w14:textId="77777777" w:rsidR="00D37F43" w:rsidRDefault="00D37F43" w:rsidP="00C16334">
      <w:pPr>
        <w:spacing w:after="0" w:line="240" w:lineRule="auto"/>
        <w:rPr>
          <w:rFonts w:ascii="Times New Roman" w:hAnsi="Times New Roman" w:cs="Times New Roman"/>
          <w:sz w:val="24"/>
          <w:szCs w:val="24"/>
        </w:rPr>
      </w:pPr>
    </w:p>
    <w:sectPr w:rsidR="00D37F43" w:rsidSect="00B64676">
      <w:footerReference w:type="default" r:id="rId17"/>
      <w:pgSz w:w="11906" w:h="16838" w:code="9"/>
      <w:pgMar w:top="851"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FC252" w14:textId="77777777" w:rsidR="00D12302" w:rsidRDefault="00D12302" w:rsidP="00C16334">
      <w:pPr>
        <w:spacing w:after="0" w:line="240" w:lineRule="auto"/>
      </w:pPr>
      <w:r>
        <w:separator/>
      </w:r>
    </w:p>
  </w:endnote>
  <w:endnote w:type="continuationSeparator" w:id="0">
    <w:p w14:paraId="7B11892E" w14:textId="77777777" w:rsidR="00D12302" w:rsidRDefault="00D12302" w:rsidP="00C1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233132"/>
      <w:docPartObj>
        <w:docPartGallery w:val="Page Numbers (Bottom of Page)"/>
        <w:docPartUnique/>
      </w:docPartObj>
    </w:sdtPr>
    <w:sdtEndPr/>
    <w:sdtContent>
      <w:p w14:paraId="3DC756A5" w14:textId="622231A3" w:rsidR="00E30387" w:rsidRDefault="00E30387">
        <w:pPr>
          <w:pStyle w:val="Pieddepage"/>
          <w:jc w:val="center"/>
        </w:pPr>
        <w:r>
          <w:fldChar w:fldCharType="begin"/>
        </w:r>
        <w:r>
          <w:instrText>PAGE   \* MERGEFORMAT</w:instrText>
        </w:r>
        <w:r>
          <w:fldChar w:fldCharType="separate"/>
        </w:r>
        <w:r>
          <w:rPr>
            <w:lang w:val="fr-FR"/>
          </w:rPr>
          <w:t>2</w:t>
        </w:r>
        <w:r>
          <w:fldChar w:fldCharType="end"/>
        </w:r>
      </w:p>
    </w:sdtContent>
  </w:sdt>
  <w:p w14:paraId="30860A9E" w14:textId="77777777" w:rsidR="00E30387" w:rsidRDefault="00E303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47076" w14:textId="77777777" w:rsidR="00D12302" w:rsidRDefault="00D12302" w:rsidP="00C16334">
      <w:pPr>
        <w:spacing w:after="0" w:line="240" w:lineRule="auto"/>
      </w:pPr>
      <w:r>
        <w:separator/>
      </w:r>
    </w:p>
  </w:footnote>
  <w:footnote w:type="continuationSeparator" w:id="0">
    <w:p w14:paraId="796FDFBB" w14:textId="77777777" w:rsidR="00D12302" w:rsidRDefault="00D12302" w:rsidP="00C16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1BDA"/>
    <w:multiLevelType w:val="hybridMultilevel"/>
    <w:tmpl w:val="FB940C08"/>
    <w:lvl w:ilvl="0" w:tplc="D28260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293E3A"/>
    <w:multiLevelType w:val="hybridMultilevel"/>
    <w:tmpl w:val="9092CB6A"/>
    <w:lvl w:ilvl="0" w:tplc="44BC685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EC5C55"/>
    <w:multiLevelType w:val="hybridMultilevel"/>
    <w:tmpl w:val="493E354A"/>
    <w:lvl w:ilvl="0" w:tplc="FBC0B6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BF678D"/>
    <w:multiLevelType w:val="hybridMultilevel"/>
    <w:tmpl w:val="51DE42F4"/>
    <w:lvl w:ilvl="0" w:tplc="30FC8928">
      <w:numFmt w:val="bullet"/>
      <w:lvlText w:val=""/>
      <w:lvlJc w:val="left"/>
      <w:pPr>
        <w:ind w:left="720" w:hanging="360"/>
      </w:pPr>
      <w:rPr>
        <w:rFonts w:ascii="Symbol" w:eastAsiaTheme="minorHAns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95A113B"/>
    <w:multiLevelType w:val="hybridMultilevel"/>
    <w:tmpl w:val="798ED552"/>
    <w:lvl w:ilvl="0" w:tplc="B91A97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06733F"/>
    <w:multiLevelType w:val="hybridMultilevel"/>
    <w:tmpl w:val="29169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46E283B"/>
    <w:multiLevelType w:val="hybridMultilevel"/>
    <w:tmpl w:val="7AA0B5E6"/>
    <w:lvl w:ilvl="0" w:tplc="BF14EA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236FA4"/>
    <w:multiLevelType w:val="hybridMultilevel"/>
    <w:tmpl w:val="83C499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D3"/>
    <w:rsid w:val="000004A9"/>
    <w:rsid w:val="000026B5"/>
    <w:rsid w:val="000754AD"/>
    <w:rsid w:val="000A7055"/>
    <w:rsid w:val="001247D1"/>
    <w:rsid w:val="001520D4"/>
    <w:rsid w:val="00187F53"/>
    <w:rsid w:val="002010CA"/>
    <w:rsid w:val="002171A1"/>
    <w:rsid w:val="00224E7A"/>
    <w:rsid w:val="002636F1"/>
    <w:rsid w:val="00287E23"/>
    <w:rsid w:val="002E3A0A"/>
    <w:rsid w:val="00333966"/>
    <w:rsid w:val="00346BB0"/>
    <w:rsid w:val="00381C65"/>
    <w:rsid w:val="003B2833"/>
    <w:rsid w:val="003D3AA5"/>
    <w:rsid w:val="003F6A20"/>
    <w:rsid w:val="00441745"/>
    <w:rsid w:val="005040AC"/>
    <w:rsid w:val="0052143D"/>
    <w:rsid w:val="0055332C"/>
    <w:rsid w:val="006218D3"/>
    <w:rsid w:val="00703566"/>
    <w:rsid w:val="007158E3"/>
    <w:rsid w:val="00745C01"/>
    <w:rsid w:val="00750D18"/>
    <w:rsid w:val="0077067F"/>
    <w:rsid w:val="0077644F"/>
    <w:rsid w:val="007D079C"/>
    <w:rsid w:val="007D0E43"/>
    <w:rsid w:val="007E0B90"/>
    <w:rsid w:val="008709D2"/>
    <w:rsid w:val="00887442"/>
    <w:rsid w:val="008A3CB8"/>
    <w:rsid w:val="008B15C9"/>
    <w:rsid w:val="008C3750"/>
    <w:rsid w:val="008F093D"/>
    <w:rsid w:val="0096116C"/>
    <w:rsid w:val="009B341E"/>
    <w:rsid w:val="009C64CB"/>
    <w:rsid w:val="009F18BC"/>
    <w:rsid w:val="00A8143B"/>
    <w:rsid w:val="00AB4CB1"/>
    <w:rsid w:val="00B64676"/>
    <w:rsid w:val="00C16334"/>
    <w:rsid w:val="00C213EA"/>
    <w:rsid w:val="00C50653"/>
    <w:rsid w:val="00C543F6"/>
    <w:rsid w:val="00CA212F"/>
    <w:rsid w:val="00CB2BB7"/>
    <w:rsid w:val="00CC4F28"/>
    <w:rsid w:val="00CE0314"/>
    <w:rsid w:val="00D12302"/>
    <w:rsid w:val="00D33962"/>
    <w:rsid w:val="00D37F43"/>
    <w:rsid w:val="00D44C0F"/>
    <w:rsid w:val="00D501D1"/>
    <w:rsid w:val="00D50530"/>
    <w:rsid w:val="00D70E7B"/>
    <w:rsid w:val="00D80906"/>
    <w:rsid w:val="00DC7840"/>
    <w:rsid w:val="00E30387"/>
    <w:rsid w:val="00E321E9"/>
    <w:rsid w:val="00EC6904"/>
    <w:rsid w:val="00ED70D1"/>
    <w:rsid w:val="00F14731"/>
    <w:rsid w:val="00F32CF1"/>
    <w:rsid w:val="00FF6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4825"/>
  <w15:chartTrackingRefBased/>
  <w15:docId w15:val="{B3C9598E-CA78-468A-90D6-642E74E0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8D3"/>
    <w:rPr>
      <w:lang w:val="fr-CA"/>
    </w:rPr>
  </w:style>
  <w:style w:type="paragraph" w:styleId="Titre1">
    <w:name w:val="heading 1"/>
    <w:basedOn w:val="Normal"/>
    <w:next w:val="Normal"/>
    <w:link w:val="Titre1Car"/>
    <w:uiPriority w:val="9"/>
    <w:qFormat/>
    <w:rsid w:val="003B283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9C64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18D3"/>
    <w:pPr>
      <w:ind w:left="720"/>
      <w:contextualSpacing/>
    </w:pPr>
  </w:style>
  <w:style w:type="character" w:customStyle="1" w:styleId="Titre1Car">
    <w:name w:val="Titre 1 Car"/>
    <w:basedOn w:val="Policepardfaut"/>
    <w:link w:val="Titre1"/>
    <w:uiPriority w:val="9"/>
    <w:rsid w:val="003B2833"/>
    <w:rPr>
      <w:rFonts w:asciiTheme="majorHAnsi" w:eastAsiaTheme="majorEastAsia" w:hAnsiTheme="majorHAnsi" w:cstheme="majorBidi"/>
      <w:b/>
      <w:bCs/>
      <w:color w:val="2F5496" w:themeColor="accent1" w:themeShade="BF"/>
      <w:sz w:val="28"/>
      <w:szCs w:val="28"/>
      <w:lang w:val="fr-CA"/>
    </w:rPr>
  </w:style>
  <w:style w:type="character" w:styleId="Marquedecommentaire">
    <w:name w:val="annotation reference"/>
    <w:basedOn w:val="Policepardfaut"/>
    <w:uiPriority w:val="99"/>
    <w:semiHidden/>
    <w:unhideWhenUsed/>
    <w:rsid w:val="008B15C9"/>
    <w:rPr>
      <w:sz w:val="16"/>
      <w:szCs w:val="16"/>
    </w:rPr>
  </w:style>
  <w:style w:type="paragraph" w:styleId="Commentaire">
    <w:name w:val="annotation text"/>
    <w:basedOn w:val="Normal"/>
    <w:link w:val="CommentaireCar"/>
    <w:uiPriority w:val="99"/>
    <w:unhideWhenUsed/>
    <w:rsid w:val="008B15C9"/>
    <w:pPr>
      <w:spacing w:line="240" w:lineRule="auto"/>
    </w:pPr>
    <w:rPr>
      <w:sz w:val="20"/>
      <w:szCs w:val="20"/>
    </w:rPr>
  </w:style>
  <w:style w:type="character" w:customStyle="1" w:styleId="CommentaireCar">
    <w:name w:val="Commentaire Car"/>
    <w:basedOn w:val="Policepardfaut"/>
    <w:link w:val="Commentaire"/>
    <w:uiPriority w:val="99"/>
    <w:rsid w:val="008B15C9"/>
    <w:rPr>
      <w:sz w:val="20"/>
      <w:szCs w:val="20"/>
      <w:lang w:val="fr-CA"/>
    </w:rPr>
  </w:style>
  <w:style w:type="paragraph" w:styleId="Objetducommentaire">
    <w:name w:val="annotation subject"/>
    <w:basedOn w:val="Commentaire"/>
    <w:next w:val="Commentaire"/>
    <w:link w:val="ObjetducommentaireCar"/>
    <w:uiPriority w:val="99"/>
    <w:semiHidden/>
    <w:unhideWhenUsed/>
    <w:rsid w:val="008B15C9"/>
    <w:rPr>
      <w:b/>
      <w:bCs/>
    </w:rPr>
  </w:style>
  <w:style w:type="character" w:customStyle="1" w:styleId="ObjetducommentaireCar">
    <w:name w:val="Objet du commentaire Car"/>
    <w:basedOn w:val="CommentaireCar"/>
    <w:link w:val="Objetducommentaire"/>
    <w:uiPriority w:val="99"/>
    <w:semiHidden/>
    <w:rsid w:val="008B15C9"/>
    <w:rPr>
      <w:b/>
      <w:bCs/>
      <w:sz w:val="20"/>
      <w:szCs w:val="20"/>
      <w:lang w:val="fr-CA"/>
    </w:rPr>
  </w:style>
  <w:style w:type="character" w:customStyle="1" w:styleId="Titre2Car">
    <w:name w:val="Titre 2 Car"/>
    <w:basedOn w:val="Policepardfaut"/>
    <w:link w:val="Titre2"/>
    <w:uiPriority w:val="9"/>
    <w:semiHidden/>
    <w:rsid w:val="009C64CB"/>
    <w:rPr>
      <w:rFonts w:asciiTheme="majorHAnsi" w:eastAsiaTheme="majorEastAsia" w:hAnsiTheme="majorHAnsi" w:cstheme="majorBidi"/>
      <w:color w:val="2F5496" w:themeColor="accent1" w:themeShade="BF"/>
      <w:sz w:val="26"/>
      <w:szCs w:val="26"/>
      <w:lang w:val="fr-CA"/>
    </w:rPr>
  </w:style>
  <w:style w:type="table" w:styleId="Ombrageclair">
    <w:name w:val="Light Shading"/>
    <w:basedOn w:val="TableauNormal"/>
    <w:uiPriority w:val="60"/>
    <w:rsid w:val="009C64CB"/>
    <w:pPr>
      <w:spacing w:after="0" w:line="240" w:lineRule="auto"/>
    </w:pPr>
    <w:rPr>
      <w:color w:val="000000" w:themeColor="text1" w:themeShade="BF"/>
      <w:lang w:val="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vision">
    <w:name w:val="Revision"/>
    <w:hidden/>
    <w:uiPriority w:val="99"/>
    <w:semiHidden/>
    <w:rsid w:val="002171A1"/>
    <w:pPr>
      <w:spacing w:after="0" w:line="240" w:lineRule="auto"/>
    </w:pPr>
    <w:rPr>
      <w:lang w:val="fr-CA"/>
    </w:rPr>
  </w:style>
  <w:style w:type="table" w:styleId="Grilledutableau">
    <w:name w:val="Table Grid"/>
    <w:basedOn w:val="TableauNormal"/>
    <w:uiPriority w:val="39"/>
    <w:rsid w:val="0007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70E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0E7B"/>
    <w:rPr>
      <w:rFonts w:ascii="Segoe UI" w:hAnsi="Segoe UI" w:cs="Segoe UI"/>
      <w:sz w:val="18"/>
      <w:szCs w:val="18"/>
      <w:lang w:val="fr-CA"/>
    </w:rPr>
  </w:style>
  <w:style w:type="paragraph" w:styleId="En-tte">
    <w:name w:val="header"/>
    <w:basedOn w:val="Normal"/>
    <w:link w:val="En-tteCar"/>
    <w:uiPriority w:val="99"/>
    <w:unhideWhenUsed/>
    <w:rsid w:val="00C16334"/>
    <w:pPr>
      <w:tabs>
        <w:tab w:val="center" w:pos="4320"/>
        <w:tab w:val="right" w:pos="8640"/>
      </w:tabs>
      <w:spacing w:after="0" w:line="240" w:lineRule="auto"/>
    </w:pPr>
  </w:style>
  <w:style w:type="character" w:customStyle="1" w:styleId="En-tteCar">
    <w:name w:val="En-tête Car"/>
    <w:basedOn w:val="Policepardfaut"/>
    <w:link w:val="En-tte"/>
    <w:uiPriority w:val="99"/>
    <w:rsid w:val="00C16334"/>
    <w:rPr>
      <w:lang w:val="fr-CA"/>
    </w:rPr>
  </w:style>
  <w:style w:type="paragraph" w:styleId="Pieddepage">
    <w:name w:val="footer"/>
    <w:basedOn w:val="Normal"/>
    <w:link w:val="PieddepageCar"/>
    <w:uiPriority w:val="99"/>
    <w:unhideWhenUsed/>
    <w:rsid w:val="00C1633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16334"/>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4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http://creativecommons.org/licenses/by-nc-sa/4.0/"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DAE63-63FA-4E69-8FAF-3204EF83E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F9B67-D039-481A-BCA3-73305B06652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69eac23-bca0-48d3-bcb4-98483adacd98"/>
    <ds:schemaRef ds:uri="http://www.w3.org/XML/1998/namespace"/>
    <ds:schemaRef ds:uri="http://purl.org/dc/dcmitype/"/>
  </ds:schemaRefs>
</ds:datastoreItem>
</file>

<file path=customXml/itemProps3.xml><?xml version="1.0" encoding="utf-8"?>
<ds:datastoreItem xmlns:ds="http://schemas.openxmlformats.org/officeDocument/2006/customXml" ds:itemID="{75BCEC4D-5EAB-4AA4-86AF-EC98B3ED0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1744</Words>
  <Characters>9592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Guillemette, Matthieu</dc:creator>
  <cp:keywords/>
  <dc:description/>
  <cp:lastModifiedBy>Guillemette, François</cp:lastModifiedBy>
  <cp:revision>3</cp:revision>
  <dcterms:created xsi:type="dcterms:W3CDTF">2024-03-08T02:26:00Z</dcterms:created>
  <dcterms:modified xsi:type="dcterms:W3CDTF">2024-03-08T02:27:00Z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