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6322" w14:textId="1EEA8E97" w:rsidR="001F3AD3" w:rsidRPr="001F3AD3" w:rsidRDefault="001F3AD3" w:rsidP="001F3AD3">
      <w:pPr>
        <w:spacing w:after="60" w:line="240" w:lineRule="auto"/>
        <w:rPr>
          <w:rFonts w:ascii="Times New Roman" w:hAnsi="Times New Roman" w:cs="Times New Roman"/>
          <w:b/>
          <w:i/>
          <w:color w:val="FF0000"/>
          <w:sz w:val="24"/>
          <w:szCs w:val="32"/>
        </w:rPr>
      </w:pPr>
      <w:r>
        <w:rPr>
          <w:rFonts w:ascii="Times New Roman" w:hAnsi="Times New Roman" w:cs="Times New Roman"/>
          <w:b/>
          <w:i/>
          <w:color w:val="FF0000"/>
          <w:sz w:val="24"/>
          <w:szCs w:val="32"/>
        </w:rPr>
        <w:t>Document sur la phase 2</w:t>
      </w:r>
    </w:p>
    <w:p w14:paraId="7A4AC028" w14:textId="6CCDD939" w:rsidR="0084578A" w:rsidRPr="004B3867" w:rsidRDefault="004B3867" w:rsidP="004B3867">
      <w:pPr>
        <w:spacing w:after="60" w:line="240" w:lineRule="auto"/>
        <w:jc w:val="center"/>
        <w:rPr>
          <w:rFonts w:ascii="Times New Roman" w:hAnsi="Times New Roman" w:cs="Times New Roman"/>
          <w:b/>
          <w:sz w:val="40"/>
          <w:szCs w:val="32"/>
        </w:rPr>
      </w:pPr>
      <w:r w:rsidRPr="004B3867">
        <w:rPr>
          <w:rFonts w:ascii="Times New Roman" w:hAnsi="Times New Roman" w:cs="Times New Roman"/>
          <w:b/>
          <w:sz w:val="40"/>
          <w:szCs w:val="32"/>
        </w:rPr>
        <w:t xml:space="preserve">Les 3 étapes de la phase 2 </w:t>
      </w:r>
    </w:p>
    <w:p w14:paraId="13B9821C" w14:textId="7538E7BA" w:rsidR="00F93454" w:rsidRPr="004B3867" w:rsidRDefault="004B3867" w:rsidP="004B3867">
      <w:pPr>
        <w:spacing w:after="60" w:line="240" w:lineRule="auto"/>
        <w:jc w:val="center"/>
        <w:rPr>
          <w:rFonts w:ascii="Times New Roman" w:hAnsi="Times New Roman" w:cs="Times New Roman"/>
          <w:b/>
          <w:i/>
          <w:sz w:val="40"/>
          <w:szCs w:val="32"/>
        </w:rPr>
      </w:pPr>
      <w:proofErr w:type="gramStart"/>
      <w:r w:rsidRPr="004B3867">
        <w:rPr>
          <w:rFonts w:ascii="Times New Roman" w:hAnsi="Times New Roman" w:cs="Times New Roman"/>
          <w:b/>
          <w:i/>
          <w:sz w:val="40"/>
          <w:szCs w:val="32"/>
        </w:rPr>
        <w:t>réalisation</w:t>
      </w:r>
      <w:proofErr w:type="gramEnd"/>
      <w:r w:rsidRPr="004B3867">
        <w:rPr>
          <w:rFonts w:ascii="Times New Roman" w:hAnsi="Times New Roman" w:cs="Times New Roman"/>
          <w:b/>
          <w:i/>
          <w:sz w:val="40"/>
          <w:szCs w:val="32"/>
        </w:rPr>
        <w:t xml:space="preserve"> de l’apprentissage</w:t>
      </w:r>
    </w:p>
    <w:p w14:paraId="0DB6EAC8" w14:textId="4F6D9530" w:rsidR="00E83242" w:rsidRPr="001F3AD3" w:rsidRDefault="00EA4CBF" w:rsidP="004B3867">
      <w:pPr>
        <w:spacing w:after="0" w:line="240" w:lineRule="auto"/>
        <w:jc w:val="center"/>
        <w:rPr>
          <w:rFonts w:ascii="Times New Roman" w:hAnsi="Times New Roman" w:cs="Times New Roman"/>
          <w:sz w:val="32"/>
          <w:szCs w:val="24"/>
        </w:rPr>
      </w:pPr>
      <w:bookmarkStart w:id="0" w:name="_GoBack"/>
      <w:r w:rsidRPr="001F3AD3">
        <w:rPr>
          <w:rFonts w:ascii="Times New Roman" w:hAnsi="Times New Roman" w:cs="Times New Roman"/>
          <w:sz w:val="32"/>
          <w:szCs w:val="24"/>
        </w:rPr>
        <w:t>François Guillemette</w:t>
      </w:r>
    </w:p>
    <w:bookmarkEnd w:id="0"/>
    <w:p w14:paraId="3A01392A" w14:textId="77777777" w:rsidR="00EA4CBF" w:rsidRDefault="00EA4CBF" w:rsidP="004B3867">
      <w:pPr>
        <w:spacing w:after="0" w:line="240" w:lineRule="auto"/>
        <w:jc w:val="center"/>
        <w:rPr>
          <w:rFonts w:ascii="Times New Roman" w:hAnsi="Times New Roman" w:cs="Times New Roman"/>
          <w:sz w:val="24"/>
          <w:szCs w:val="24"/>
        </w:rPr>
      </w:pPr>
    </w:p>
    <w:p w14:paraId="2E5535D6" w14:textId="1BF6FEED" w:rsidR="00E83242" w:rsidRDefault="00E83242" w:rsidP="004B3867">
      <w:pPr>
        <w:spacing w:after="60" w:line="240" w:lineRule="auto"/>
        <w:jc w:val="both"/>
        <w:rPr>
          <w:rFonts w:ascii="Times New Roman" w:hAnsi="Times New Roman" w:cs="Times New Roman"/>
          <w:b/>
          <w:sz w:val="24"/>
          <w:szCs w:val="24"/>
        </w:rPr>
      </w:pPr>
      <w:r w:rsidRPr="00747BB5">
        <w:rPr>
          <w:rFonts w:ascii="Times New Roman" w:hAnsi="Times New Roman" w:cs="Times New Roman"/>
          <w:sz w:val="24"/>
          <w:szCs w:val="24"/>
        </w:rPr>
        <w:t>AVANT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LE MODELAGE</w:t>
      </w:r>
      <w:r w:rsidR="00D8723E">
        <w:rPr>
          <w:rFonts w:ascii="Times New Roman" w:hAnsi="Times New Roman" w:cs="Times New Roman"/>
          <w:b/>
          <w:i/>
          <w:sz w:val="28"/>
          <w:szCs w:val="24"/>
        </w:rPr>
        <w:t xml:space="preserve"> (Étape 1)</w:t>
      </w:r>
    </w:p>
    <w:p w14:paraId="77197BEC"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Il existe beaucoup de confusion autour du concept de modelage. </w:t>
      </w:r>
    </w:p>
    <w:p w14:paraId="27B400F3"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Certains pensent qu’il est synonyme de modélisation </w:t>
      </w:r>
      <w:r>
        <w:rPr>
          <w:rFonts w:ascii="Times New Roman" w:hAnsi="Times New Roman" w:cs="Times New Roman"/>
          <w:sz w:val="24"/>
          <w:szCs w:val="24"/>
        </w:rPr>
        <w:t xml:space="preserve">(construire un modèle) </w:t>
      </w:r>
      <w:r w:rsidRPr="00EA27FF">
        <w:rPr>
          <w:rFonts w:ascii="Times New Roman" w:hAnsi="Times New Roman" w:cs="Times New Roman"/>
          <w:sz w:val="24"/>
          <w:szCs w:val="24"/>
        </w:rPr>
        <w:t xml:space="preserve">alors que ce n’est pas le cas. </w:t>
      </w:r>
      <w:r>
        <w:rPr>
          <w:rFonts w:ascii="Times New Roman" w:hAnsi="Times New Roman" w:cs="Times New Roman"/>
          <w:sz w:val="24"/>
          <w:szCs w:val="24"/>
        </w:rPr>
        <w:t xml:space="preserve">D’autres </w:t>
      </w:r>
      <w:r w:rsidRPr="00EA27FF">
        <w:rPr>
          <w:rFonts w:ascii="Times New Roman" w:hAnsi="Times New Roman" w:cs="Times New Roman"/>
          <w:sz w:val="24"/>
          <w:szCs w:val="24"/>
        </w:rPr>
        <w:t>pensent qu’il s’agit de se donner en modèle alors que ce n’est pas le cas</w:t>
      </w:r>
      <w:r>
        <w:rPr>
          <w:rFonts w:ascii="Times New Roman" w:hAnsi="Times New Roman" w:cs="Times New Roman"/>
          <w:sz w:val="24"/>
          <w:szCs w:val="24"/>
        </w:rPr>
        <w:t xml:space="preserve"> non plus</w:t>
      </w:r>
      <w:r w:rsidRPr="00EA27FF">
        <w:rPr>
          <w:rFonts w:ascii="Times New Roman" w:hAnsi="Times New Roman" w:cs="Times New Roman"/>
          <w:sz w:val="24"/>
          <w:szCs w:val="24"/>
        </w:rPr>
        <w:t xml:space="preserve">. </w:t>
      </w:r>
    </w:p>
    <w:p w14:paraId="3F9539A0"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Le modelage est le substantif du verbe modeler et non du verbe modéliser. Le modelage est le début du guidage. </w:t>
      </w:r>
    </w:p>
    <w:p w14:paraId="5AD096AD" w14:textId="371EFAB4"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Il ne s’agit pas de donner une démonstration d’expert que l’apprenant devra imiter du mieux qu’il pourra</w:t>
      </w:r>
      <w:r w:rsidR="00D8723E">
        <w:rPr>
          <w:rFonts w:ascii="Times New Roman" w:hAnsi="Times New Roman" w:cs="Times New Roman"/>
          <w:sz w:val="24"/>
          <w:szCs w:val="24"/>
        </w:rPr>
        <w:t xml:space="preserve">. Dans une telle démonstration d’expert, l’apprenant </w:t>
      </w:r>
      <w:r>
        <w:rPr>
          <w:rFonts w:ascii="Times New Roman" w:hAnsi="Times New Roman" w:cs="Times New Roman"/>
          <w:sz w:val="24"/>
          <w:szCs w:val="24"/>
        </w:rPr>
        <w:t>risque fort d</w:t>
      </w:r>
      <w:r w:rsidR="00D8723E">
        <w:rPr>
          <w:rFonts w:ascii="Times New Roman" w:hAnsi="Times New Roman" w:cs="Times New Roman"/>
          <w:sz w:val="24"/>
          <w:szCs w:val="24"/>
        </w:rPr>
        <w:t xml:space="preserve">e vivre </w:t>
      </w:r>
      <w:r>
        <w:rPr>
          <w:rFonts w:ascii="Times New Roman" w:hAnsi="Times New Roman" w:cs="Times New Roman"/>
          <w:sz w:val="24"/>
          <w:szCs w:val="24"/>
        </w:rPr>
        <w:t xml:space="preserve">un échec </w:t>
      </w:r>
      <w:r w:rsidR="00D8723E">
        <w:rPr>
          <w:rFonts w:ascii="Times New Roman" w:hAnsi="Times New Roman" w:cs="Times New Roman"/>
          <w:sz w:val="24"/>
          <w:szCs w:val="24"/>
        </w:rPr>
        <w:t xml:space="preserve">parce qu’il va comparer son apprentissage à la </w:t>
      </w:r>
      <w:r>
        <w:rPr>
          <w:rFonts w:ascii="Times New Roman" w:hAnsi="Times New Roman" w:cs="Times New Roman"/>
          <w:sz w:val="24"/>
          <w:szCs w:val="24"/>
        </w:rPr>
        <w:t>démonstration</w:t>
      </w:r>
      <w:r w:rsidRPr="00EA27FF">
        <w:rPr>
          <w:rFonts w:ascii="Times New Roman" w:hAnsi="Times New Roman" w:cs="Times New Roman"/>
          <w:sz w:val="24"/>
          <w:szCs w:val="24"/>
        </w:rPr>
        <w:t xml:space="preserve">. </w:t>
      </w:r>
    </w:p>
    <w:p w14:paraId="704D23CC" w14:textId="77777777" w:rsidR="00E83242" w:rsidRPr="00EA27FF"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Dans le modelage, i</w:t>
      </w:r>
      <w:r w:rsidRPr="00EA27FF">
        <w:rPr>
          <w:rFonts w:ascii="Times New Roman" w:hAnsi="Times New Roman" w:cs="Times New Roman"/>
          <w:sz w:val="24"/>
          <w:szCs w:val="24"/>
        </w:rPr>
        <w:t xml:space="preserve">l s’agit, pour l’enseignant, de </w:t>
      </w:r>
      <w:r w:rsidRPr="00960400">
        <w:rPr>
          <w:rFonts w:ascii="Times New Roman" w:hAnsi="Times New Roman" w:cs="Times New Roman"/>
          <w:b/>
          <w:sz w:val="24"/>
          <w:szCs w:val="24"/>
        </w:rPr>
        <w:t>se mettre à la place de l’apprenant</w:t>
      </w:r>
      <w:r w:rsidRPr="00EA27FF">
        <w:rPr>
          <w:rFonts w:ascii="Times New Roman" w:hAnsi="Times New Roman" w:cs="Times New Roman"/>
          <w:sz w:val="24"/>
          <w:szCs w:val="24"/>
        </w:rPr>
        <w:t xml:space="preserve"> et de « modeler » (comme dans </w:t>
      </w:r>
      <w:r>
        <w:rPr>
          <w:rFonts w:ascii="Times New Roman" w:hAnsi="Times New Roman" w:cs="Times New Roman"/>
          <w:sz w:val="24"/>
          <w:szCs w:val="24"/>
        </w:rPr>
        <w:t xml:space="preserve">l’expression </w:t>
      </w:r>
      <w:r w:rsidRPr="00EA27FF">
        <w:rPr>
          <w:rFonts w:ascii="Times New Roman" w:hAnsi="Times New Roman" w:cs="Times New Roman"/>
          <w:sz w:val="24"/>
          <w:szCs w:val="24"/>
        </w:rPr>
        <w:t>pâte à modeler) la pratique de l’apprenant; lui montrer ce qu’il ferait</w:t>
      </w:r>
      <w:r>
        <w:rPr>
          <w:rFonts w:ascii="Times New Roman" w:hAnsi="Times New Roman" w:cs="Times New Roman"/>
          <w:sz w:val="24"/>
          <w:szCs w:val="24"/>
        </w:rPr>
        <w:t>, lui l’enseignant,</w:t>
      </w:r>
      <w:r w:rsidRPr="00EA27FF">
        <w:rPr>
          <w:rFonts w:ascii="Times New Roman" w:hAnsi="Times New Roman" w:cs="Times New Roman"/>
          <w:sz w:val="24"/>
          <w:szCs w:val="24"/>
        </w:rPr>
        <w:t xml:space="preserve"> s’il était à </w:t>
      </w:r>
      <w:r>
        <w:rPr>
          <w:rFonts w:ascii="Times New Roman" w:hAnsi="Times New Roman" w:cs="Times New Roman"/>
          <w:sz w:val="24"/>
          <w:szCs w:val="24"/>
        </w:rPr>
        <w:t xml:space="preserve">la </w:t>
      </w:r>
      <w:r w:rsidRPr="00EA27FF">
        <w:rPr>
          <w:rFonts w:ascii="Times New Roman" w:hAnsi="Times New Roman" w:cs="Times New Roman"/>
          <w:sz w:val="24"/>
          <w:szCs w:val="24"/>
        </w:rPr>
        <w:t>place</w:t>
      </w:r>
      <w:r>
        <w:rPr>
          <w:rFonts w:ascii="Times New Roman" w:hAnsi="Times New Roman" w:cs="Times New Roman"/>
          <w:sz w:val="24"/>
          <w:szCs w:val="24"/>
        </w:rPr>
        <w:t xml:space="preserve"> de l’apprenant</w:t>
      </w:r>
      <w:r w:rsidRPr="00EA27FF">
        <w:rPr>
          <w:rFonts w:ascii="Times New Roman" w:hAnsi="Times New Roman" w:cs="Times New Roman"/>
          <w:sz w:val="24"/>
          <w:szCs w:val="24"/>
        </w:rPr>
        <w:t>. Il ne s’agit pas ici, pour l’enseignant, de présenter ou d’expliquer les consignes</w:t>
      </w:r>
      <w:r>
        <w:rPr>
          <w:rFonts w:ascii="Times New Roman" w:hAnsi="Times New Roman" w:cs="Times New Roman"/>
          <w:sz w:val="24"/>
          <w:szCs w:val="24"/>
        </w:rPr>
        <w:t xml:space="preserve"> (il l’aura fait auparavant)</w:t>
      </w:r>
      <w:r w:rsidRPr="00EA27FF">
        <w:rPr>
          <w:rFonts w:ascii="Times New Roman" w:hAnsi="Times New Roman" w:cs="Times New Roman"/>
          <w:sz w:val="24"/>
          <w:szCs w:val="24"/>
        </w:rPr>
        <w:t>, mais de donner des exemples de ce qu’il ferait s’il était à la place de l’apprenant, notamment en fractionnant la tâche en étapes simples, en identifiant les diverses procédures</w:t>
      </w:r>
      <w:r w:rsidRPr="00960400">
        <w:rPr>
          <w:rFonts w:ascii="Times New Roman" w:hAnsi="Times New Roman" w:cs="Times New Roman"/>
          <w:b/>
          <w:sz w:val="24"/>
          <w:szCs w:val="24"/>
        </w:rPr>
        <w:t>, en mettant un «</w:t>
      </w:r>
      <w:r>
        <w:rPr>
          <w:rFonts w:ascii="Times New Roman" w:hAnsi="Times New Roman" w:cs="Times New Roman"/>
          <w:b/>
          <w:sz w:val="24"/>
          <w:szCs w:val="24"/>
        </w:rPr>
        <w:t> </w:t>
      </w:r>
      <w:r w:rsidRPr="00960400">
        <w:rPr>
          <w:rFonts w:ascii="Times New Roman" w:hAnsi="Times New Roman" w:cs="Times New Roman"/>
          <w:b/>
          <w:sz w:val="24"/>
          <w:szCs w:val="24"/>
        </w:rPr>
        <w:t>haut-parleur</w:t>
      </w:r>
      <w:r>
        <w:rPr>
          <w:rFonts w:ascii="Times New Roman" w:hAnsi="Times New Roman" w:cs="Times New Roman"/>
          <w:b/>
          <w:sz w:val="24"/>
          <w:szCs w:val="24"/>
        </w:rPr>
        <w:t> </w:t>
      </w:r>
      <w:r w:rsidRPr="00960400">
        <w:rPr>
          <w:rFonts w:ascii="Times New Roman" w:hAnsi="Times New Roman" w:cs="Times New Roman"/>
          <w:b/>
          <w:sz w:val="24"/>
          <w:szCs w:val="24"/>
        </w:rPr>
        <w:t>» sur sa pensée</w:t>
      </w:r>
      <w:r>
        <w:rPr>
          <w:rFonts w:ascii="Times New Roman" w:hAnsi="Times New Roman" w:cs="Times New Roman"/>
          <w:sz w:val="24"/>
          <w:szCs w:val="24"/>
        </w:rPr>
        <w:t xml:space="preserve"> c’est-à-dire</w:t>
      </w:r>
      <w:r w:rsidRPr="00EA27FF">
        <w:rPr>
          <w:rFonts w:ascii="Times New Roman" w:hAnsi="Times New Roman" w:cs="Times New Roman"/>
          <w:sz w:val="24"/>
          <w:szCs w:val="24"/>
        </w:rPr>
        <w:t xml:space="preserve"> en verbalisant le raisonnement qui se passe dans </w:t>
      </w:r>
      <w:r>
        <w:rPr>
          <w:rFonts w:ascii="Times New Roman" w:hAnsi="Times New Roman" w:cs="Times New Roman"/>
          <w:sz w:val="24"/>
          <w:szCs w:val="24"/>
        </w:rPr>
        <w:t xml:space="preserve">son </w:t>
      </w:r>
      <w:r w:rsidRPr="00EA27FF">
        <w:rPr>
          <w:rFonts w:ascii="Times New Roman" w:hAnsi="Times New Roman" w:cs="Times New Roman"/>
          <w:sz w:val="24"/>
          <w:szCs w:val="24"/>
        </w:rPr>
        <w:t>esprit (questionnement intérieur, stratégies pour réussir, ressources mobilisées, etc.).</w:t>
      </w:r>
    </w:p>
    <w:p w14:paraId="5A633588" w14:textId="77777777" w:rsidR="00E83242" w:rsidRDefault="00E83242" w:rsidP="004B3867">
      <w:pPr>
        <w:spacing w:after="60" w:line="240" w:lineRule="auto"/>
        <w:jc w:val="both"/>
        <w:rPr>
          <w:rFonts w:ascii="Times New Roman" w:hAnsi="Times New Roman" w:cs="Times New Roman"/>
          <w:sz w:val="24"/>
          <w:szCs w:val="24"/>
        </w:rPr>
      </w:pPr>
    </w:p>
    <w:p w14:paraId="24FED96D" w14:textId="35DBB12C" w:rsidR="00E83242" w:rsidRPr="00747BB5" w:rsidRDefault="00E83242" w:rsidP="004B3867">
      <w:pPr>
        <w:spacing w:after="60" w:line="240" w:lineRule="auto"/>
        <w:jc w:val="both"/>
        <w:rPr>
          <w:rFonts w:ascii="Times New Roman" w:hAnsi="Times New Roman" w:cs="Times New Roman"/>
          <w:b/>
          <w:i/>
          <w:sz w:val="28"/>
          <w:szCs w:val="24"/>
        </w:rPr>
      </w:pPr>
      <w:r w:rsidRPr="00747BB5">
        <w:rPr>
          <w:rFonts w:ascii="Times New Roman" w:hAnsi="Times New Roman" w:cs="Times New Roman"/>
          <w:b/>
          <w:i/>
          <w:sz w:val="28"/>
          <w:szCs w:val="24"/>
        </w:rPr>
        <w:t>LA PRATIQUE GUIDÉE</w:t>
      </w:r>
      <w:r w:rsidR="00D8723E">
        <w:rPr>
          <w:rFonts w:ascii="Times New Roman" w:hAnsi="Times New Roman" w:cs="Times New Roman"/>
          <w:b/>
          <w:i/>
          <w:sz w:val="28"/>
          <w:szCs w:val="24"/>
        </w:rPr>
        <w:t xml:space="preserve"> (Étape 2</w:t>
      </w:r>
    </w:p>
    <w:p w14:paraId="5D508FCC" w14:textId="77777777" w:rsidR="00E83242" w:rsidRDefault="00E83242" w:rsidP="004B3867">
      <w:pPr>
        <w:spacing w:after="60" w:line="240" w:lineRule="auto"/>
        <w:jc w:val="both"/>
        <w:rPr>
          <w:rFonts w:ascii="Times New Roman" w:hAnsi="Times New Roman" w:cs="Times New Roman"/>
          <w:sz w:val="24"/>
          <w:szCs w:val="24"/>
        </w:rPr>
      </w:pPr>
      <w:r w:rsidRPr="00741752">
        <w:rPr>
          <w:rFonts w:ascii="Times New Roman" w:hAnsi="Times New Roman" w:cs="Times New Roman"/>
          <w:sz w:val="24"/>
          <w:szCs w:val="24"/>
        </w:rPr>
        <w:t>La pratique guidée constitue le cœur de l’apprentissage.</w:t>
      </w:r>
      <w:r>
        <w:rPr>
          <w:rFonts w:ascii="Times New Roman" w:hAnsi="Times New Roman" w:cs="Times New Roman"/>
          <w:sz w:val="24"/>
          <w:szCs w:val="24"/>
        </w:rPr>
        <w:t xml:space="preserve"> Les apprenants sont en action et l’enseignant les guide. </w:t>
      </w:r>
    </w:p>
    <w:p w14:paraId="76A96C22"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Il s’agit pour l’enseignant de « diriger » l’apprenant dans sa pratique, dans son apprentissage actif, sans apprendre à sa place. </w:t>
      </w:r>
      <w:r>
        <w:rPr>
          <w:rFonts w:ascii="Times New Roman" w:hAnsi="Times New Roman" w:cs="Times New Roman"/>
          <w:sz w:val="24"/>
          <w:szCs w:val="24"/>
        </w:rPr>
        <w:t>C</w:t>
      </w:r>
      <w:r w:rsidRPr="00EA27FF">
        <w:rPr>
          <w:rFonts w:ascii="Times New Roman" w:hAnsi="Times New Roman" w:cs="Times New Roman"/>
          <w:sz w:val="24"/>
          <w:szCs w:val="24"/>
        </w:rPr>
        <w:t>’est l’</w:t>
      </w:r>
      <w:r>
        <w:rPr>
          <w:rFonts w:ascii="Times New Roman" w:hAnsi="Times New Roman" w:cs="Times New Roman"/>
          <w:sz w:val="24"/>
          <w:szCs w:val="24"/>
        </w:rPr>
        <w:t>apprenant</w:t>
      </w:r>
      <w:r w:rsidRPr="00EA27FF">
        <w:rPr>
          <w:rFonts w:ascii="Times New Roman" w:hAnsi="Times New Roman" w:cs="Times New Roman"/>
          <w:sz w:val="24"/>
          <w:szCs w:val="24"/>
        </w:rPr>
        <w:t xml:space="preserve"> qui apprend, mais il ne peut pas apprendre seul ou sans être guidé</w:t>
      </w:r>
      <w:r>
        <w:rPr>
          <w:rFonts w:ascii="Times New Roman" w:hAnsi="Times New Roman" w:cs="Times New Roman"/>
          <w:sz w:val="24"/>
          <w:szCs w:val="24"/>
        </w:rPr>
        <w:t xml:space="preserve"> par l’enseignant</w:t>
      </w:r>
      <w:r w:rsidRPr="00EA27FF">
        <w:rPr>
          <w:rFonts w:ascii="Times New Roman" w:hAnsi="Times New Roman" w:cs="Times New Roman"/>
          <w:sz w:val="24"/>
          <w:szCs w:val="24"/>
        </w:rPr>
        <w:t>.</w:t>
      </w:r>
    </w:p>
    <w:p w14:paraId="5CA64B30" w14:textId="77777777"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En entrant dans cette étape, l’enseignant rappelle les apprentissages visés. Puis, il présente les consignes encore une fois. Enfin, il présente les indicateurs de réussite (grille d’évaluation). </w:t>
      </w:r>
    </w:p>
    <w:p w14:paraId="5E0AF7E0" w14:textId="77777777" w:rsidR="00D8723E" w:rsidRDefault="00D8723E" w:rsidP="004B3867">
      <w:pPr>
        <w:spacing w:after="60" w:line="240" w:lineRule="auto"/>
        <w:jc w:val="both"/>
        <w:rPr>
          <w:rFonts w:ascii="Times New Roman" w:hAnsi="Times New Roman" w:cs="Times New Roman"/>
          <w:sz w:val="24"/>
          <w:szCs w:val="24"/>
        </w:rPr>
      </w:pPr>
    </w:p>
    <w:p w14:paraId="646FD1C6" w14:textId="4828BDED" w:rsidR="00E83242" w:rsidRDefault="00E83242"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b/>
          <w:sz w:val="24"/>
          <w:szCs w:val="24"/>
        </w:rPr>
        <w:t>Durant la pratique guidée</w:t>
      </w:r>
      <w:r>
        <w:rPr>
          <w:rFonts w:ascii="Times New Roman" w:hAnsi="Times New Roman" w:cs="Times New Roman"/>
          <w:sz w:val="24"/>
          <w:szCs w:val="24"/>
        </w:rPr>
        <w:t>, c’est-à-dire durant que les apprenants sont en action, l’enseignant accompagne les apprenants :</w:t>
      </w:r>
    </w:p>
    <w:p w14:paraId="7F3D3615" w14:textId="77777777" w:rsidR="00D8723E" w:rsidRP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leur rappelant les consignes au besoin;</w:t>
      </w:r>
    </w:p>
    <w:p w14:paraId="6A50D2E4" w14:textId="77777777" w:rsidR="00D8723E" w:rsidRP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leur posant des questions qui vont les aider à progresser;</w:t>
      </w:r>
    </w:p>
    <w:p w14:paraId="39B75A0F" w14:textId="77777777" w:rsidR="00D8723E" w:rsidRP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les réorientant sur une voie de réussite lorsqu’il constate qu’ils ont pris une voie erronée ou lorsqu’il constate qu’ils sont bloqués dans leur apprentissage;</w:t>
      </w:r>
    </w:p>
    <w:p w14:paraId="4A06B423" w14:textId="4408FC64" w:rsid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leur donnant souvent des rétroactions positives à partir des indicateurs de progression et de réussite;</w:t>
      </w:r>
    </w:p>
    <w:p w14:paraId="7CB7425B" w14:textId="49C3F78B" w:rsidR="00E83242"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faisant des suggestions d’actions concrètes pour progresser.</w:t>
      </w:r>
      <w:r w:rsidR="00EA4CBF">
        <w:rPr>
          <w:rFonts w:ascii="Times New Roman" w:hAnsi="Times New Roman" w:cs="Times New Roman"/>
          <w:sz w:val="24"/>
          <w:szCs w:val="24"/>
        </w:rPr>
        <w:t xml:space="preserve"> </w:t>
      </w:r>
      <w:r w:rsidR="00E83242" w:rsidRPr="00EA27FF">
        <w:rPr>
          <w:rFonts w:ascii="Times New Roman" w:hAnsi="Times New Roman" w:cs="Times New Roman"/>
          <w:sz w:val="24"/>
          <w:szCs w:val="24"/>
        </w:rPr>
        <w:t>Les consignes sont claires et mènent les apprenants à l’action. Elles sont rappelées souvent pour guider les apprenants de telle sorte qu’ils ne sont jamais laissés à eux-mêmes, ni laissés dans une voie erronée.</w:t>
      </w:r>
    </w:p>
    <w:p w14:paraId="0BA74839" w14:textId="77777777" w:rsidR="004B3867" w:rsidRDefault="004B386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D79AA00" w14:textId="3CF7DB5D"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L’enseignant, de temps à autre, demande à un apprenant de verbaliser ses stratégies, ses pensées durant qu’il apprend, ses décisions, ses procédures. </w:t>
      </w:r>
    </w:p>
    <w:p w14:paraId="3DC0D0CA" w14:textId="77777777" w:rsid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xml:space="preserve">Les interventions pour guider – par exemple, les rétroactions – sont fréquentes et portent sur ce qui est observé dans la progression positive (et non sur des inférences purement subjectives et invisibles du genre « vous ne faites pas suffisamment d’effort d’attention »). </w:t>
      </w:r>
    </w:p>
    <w:p w14:paraId="4D965245" w14:textId="77FCF145"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Les interventions de l’enseignant </w:t>
      </w:r>
      <w:r w:rsidRPr="00EA27FF">
        <w:rPr>
          <w:rFonts w:ascii="Times New Roman" w:hAnsi="Times New Roman" w:cs="Times New Roman"/>
          <w:sz w:val="24"/>
          <w:szCs w:val="24"/>
        </w:rPr>
        <w:t>sont cohérentes avec les visées d’apprentissag</w:t>
      </w:r>
      <w:r>
        <w:rPr>
          <w:rFonts w:ascii="Times New Roman" w:hAnsi="Times New Roman" w:cs="Times New Roman"/>
          <w:sz w:val="24"/>
          <w:szCs w:val="24"/>
        </w:rPr>
        <w:t>e, de même qu’avec les consignes (principe de l’alignement constructif)</w:t>
      </w:r>
      <w:r w:rsidRPr="00EA27FF">
        <w:rPr>
          <w:rFonts w:ascii="Times New Roman" w:hAnsi="Times New Roman" w:cs="Times New Roman"/>
          <w:sz w:val="24"/>
          <w:szCs w:val="24"/>
        </w:rPr>
        <w:t xml:space="preserve">. </w:t>
      </w:r>
    </w:p>
    <w:p w14:paraId="1ADEFC55"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Elles consistent à reconnaître et à faire reconnaître par l’apprenant chaque progression significative</w:t>
      </w:r>
      <w:r>
        <w:rPr>
          <w:rFonts w:ascii="Times New Roman" w:hAnsi="Times New Roman" w:cs="Times New Roman"/>
          <w:sz w:val="24"/>
          <w:szCs w:val="24"/>
        </w:rPr>
        <w:t>. Il s’agit d’</w:t>
      </w:r>
      <w:r w:rsidRPr="00EA27FF">
        <w:rPr>
          <w:rFonts w:ascii="Times New Roman" w:hAnsi="Times New Roman" w:cs="Times New Roman"/>
          <w:sz w:val="24"/>
          <w:szCs w:val="24"/>
        </w:rPr>
        <w:t xml:space="preserve">indiquer </w:t>
      </w:r>
      <w:r>
        <w:rPr>
          <w:rFonts w:ascii="Times New Roman" w:hAnsi="Times New Roman" w:cs="Times New Roman"/>
          <w:sz w:val="24"/>
          <w:szCs w:val="24"/>
        </w:rPr>
        <w:t xml:space="preserve">explicitement les progrès accomplis, les </w:t>
      </w:r>
      <w:r w:rsidRPr="00EA27FF">
        <w:rPr>
          <w:rFonts w:ascii="Times New Roman" w:hAnsi="Times New Roman" w:cs="Times New Roman"/>
          <w:sz w:val="24"/>
          <w:szCs w:val="24"/>
        </w:rPr>
        <w:t xml:space="preserve">rendant </w:t>
      </w:r>
      <w:r>
        <w:rPr>
          <w:rFonts w:ascii="Times New Roman" w:hAnsi="Times New Roman" w:cs="Times New Roman"/>
          <w:sz w:val="24"/>
          <w:szCs w:val="24"/>
        </w:rPr>
        <w:t xml:space="preserve">ainsi </w:t>
      </w:r>
      <w:r w:rsidRPr="00EA27FF">
        <w:rPr>
          <w:rFonts w:ascii="Times New Roman" w:hAnsi="Times New Roman" w:cs="Times New Roman"/>
          <w:sz w:val="24"/>
          <w:szCs w:val="24"/>
        </w:rPr>
        <w:t>visible</w:t>
      </w:r>
      <w:r>
        <w:rPr>
          <w:rFonts w:ascii="Times New Roman" w:hAnsi="Times New Roman" w:cs="Times New Roman"/>
          <w:sz w:val="24"/>
          <w:szCs w:val="24"/>
        </w:rPr>
        <w:t>s pour l’apprenant.</w:t>
      </w:r>
      <w:r w:rsidRPr="00EA27FF">
        <w:rPr>
          <w:rFonts w:ascii="Times New Roman" w:hAnsi="Times New Roman" w:cs="Times New Roman"/>
          <w:sz w:val="24"/>
          <w:szCs w:val="24"/>
        </w:rPr>
        <w:t xml:space="preserve"> </w:t>
      </w:r>
    </w:p>
    <w:p w14:paraId="7783057E" w14:textId="3DD97BC9" w:rsidR="00E83242" w:rsidRDefault="00E83242" w:rsidP="004B3867">
      <w:pPr>
        <w:spacing w:after="60" w:line="240" w:lineRule="auto"/>
        <w:jc w:val="both"/>
        <w:rPr>
          <w:rFonts w:ascii="Times New Roman" w:hAnsi="Times New Roman" w:cs="Times New Roman"/>
          <w:sz w:val="24"/>
          <w:szCs w:val="24"/>
        </w:rPr>
      </w:pPr>
      <w:bookmarkStart w:id="1" w:name="_Hlk146268753"/>
      <w:r w:rsidRPr="00EA27FF">
        <w:rPr>
          <w:rFonts w:ascii="Times New Roman" w:hAnsi="Times New Roman" w:cs="Times New Roman"/>
          <w:sz w:val="24"/>
          <w:szCs w:val="24"/>
        </w:rPr>
        <w:t xml:space="preserve">Elles consistent aussi à suggérer des stratégies pour avancer dans l’apprentissage sans </w:t>
      </w:r>
      <w:r w:rsidR="00D8723E">
        <w:rPr>
          <w:rFonts w:ascii="Times New Roman" w:hAnsi="Times New Roman" w:cs="Times New Roman"/>
          <w:sz w:val="24"/>
          <w:szCs w:val="24"/>
        </w:rPr>
        <w:t>laisser l’apprenant dans l’erreur, en surmontant chaque d</w:t>
      </w:r>
      <w:r w:rsidRPr="00EA27FF">
        <w:rPr>
          <w:rFonts w:ascii="Times New Roman" w:hAnsi="Times New Roman" w:cs="Times New Roman"/>
          <w:sz w:val="24"/>
          <w:szCs w:val="24"/>
        </w:rPr>
        <w:t>ifficulté</w:t>
      </w:r>
      <w:r w:rsidR="00D8723E">
        <w:rPr>
          <w:rFonts w:ascii="Times New Roman" w:hAnsi="Times New Roman" w:cs="Times New Roman"/>
          <w:sz w:val="24"/>
          <w:szCs w:val="24"/>
        </w:rPr>
        <w:t xml:space="preserve"> et en visant toujours des apprentissages exigeants</w:t>
      </w:r>
      <w:r w:rsidRPr="00EA27FF">
        <w:rPr>
          <w:rFonts w:ascii="Times New Roman" w:hAnsi="Times New Roman" w:cs="Times New Roman"/>
          <w:sz w:val="24"/>
          <w:szCs w:val="24"/>
        </w:rPr>
        <w:t xml:space="preserve">. </w:t>
      </w:r>
    </w:p>
    <w:bookmarkEnd w:id="1"/>
    <w:p w14:paraId="3CA28DF0" w14:textId="432C0D40" w:rsidR="00C05031" w:rsidRDefault="00C05031"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L’enseignant s’assure de maintenir tous les apprenants dans la voie de la progression et de la réussite, permettant les erreurs, mais en les faisant rectifier au fur et à mesure afin de </w:t>
      </w:r>
      <w:r>
        <w:rPr>
          <w:rFonts w:ascii="Times New Roman" w:hAnsi="Times New Roman" w:cs="Times New Roman"/>
          <w:sz w:val="24"/>
          <w:szCs w:val="24"/>
        </w:rPr>
        <w:t xml:space="preserve">maintenir l’apprenant dans la progression et de </w:t>
      </w:r>
      <w:r w:rsidRPr="00EA27FF">
        <w:rPr>
          <w:rFonts w:ascii="Times New Roman" w:hAnsi="Times New Roman" w:cs="Times New Roman"/>
          <w:sz w:val="24"/>
          <w:szCs w:val="24"/>
        </w:rPr>
        <w:t xml:space="preserve">prévenir une avancée dans une voie erronée. </w:t>
      </w:r>
    </w:p>
    <w:p w14:paraId="0C051AA8" w14:textId="77777777" w:rsidR="00C05031" w:rsidRDefault="00C05031" w:rsidP="004B3867">
      <w:pPr>
        <w:spacing w:after="60" w:line="240" w:lineRule="auto"/>
        <w:jc w:val="both"/>
        <w:rPr>
          <w:rFonts w:ascii="Times New Roman" w:hAnsi="Times New Roman" w:cs="Times New Roman"/>
          <w:sz w:val="24"/>
          <w:szCs w:val="24"/>
        </w:rPr>
      </w:pPr>
    </w:p>
    <w:p w14:paraId="4F5674F4" w14:textId="77777777" w:rsidR="00E83242" w:rsidRPr="00EA27FF"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Il est important de « situer » l’apprentissage dans une famille de situations en précisant aux apprenants les caractéristiques concrètes de cette famille de situations. Il peut s’agir d’indiquer les autres situations où ils vont avoir à mobiliser cet apprentissage dans leur expérience académique ou des situations du contexte de travail (métier, profession) où ils auront à mobiliser cet apprentissage.</w:t>
      </w:r>
    </w:p>
    <w:p w14:paraId="42D19599" w14:textId="77777777" w:rsidR="00E83242" w:rsidRDefault="00E83242" w:rsidP="004B3867">
      <w:pPr>
        <w:spacing w:after="60" w:line="240" w:lineRule="auto"/>
        <w:jc w:val="both"/>
        <w:rPr>
          <w:rFonts w:ascii="Times New Roman" w:hAnsi="Times New Roman" w:cs="Times New Roman"/>
          <w:sz w:val="24"/>
          <w:szCs w:val="24"/>
        </w:rPr>
      </w:pPr>
    </w:p>
    <w:p w14:paraId="23748610" w14:textId="42F9439C" w:rsidR="00E83242" w:rsidRDefault="00E83242" w:rsidP="004B3867">
      <w:pPr>
        <w:spacing w:after="60" w:line="240" w:lineRule="auto"/>
        <w:jc w:val="both"/>
        <w:rPr>
          <w:rFonts w:ascii="Times New Roman" w:hAnsi="Times New Roman" w:cs="Times New Roman"/>
          <w:b/>
          <w:sz w:val="24"/>
          <w:szCs w:val="24"/>
        </w:rPr>
      </w:pPr>
      <w:r w:rsidRPr="00747BB5">
        <w:rPr>
          <w:rFonts w:ascii="Times New Roman" w:hAnsi="Times New Roman" w:cs="Times New Roman"/>
          <w:sz w:val="24"/>
          <w:szCs w:val="24"/>
        </w:rPr>
        <w:t>APRÈS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LA PRATIQUE AUTONOME</w:t>
      </w:r>
      <w:r w:rsidR="00C05031">
        <w:rPr>
          <w:rFonts w:ascii="Times New Roman" w:hAnsi="Times New Roman" w:cs="Times New Roman"/>
          <w:b/>
          <w:i/>
          <w:sz w:val="28"/>
          <w:szCs w:val="24"/>
        </w:rPr>
        <w:t xml:space="preserve"> (Étape 3)</w:t>
      </w:r>
    </w:p>
    <w:p w14:paraId="084D0A2D" w14:textId="77777777"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U</w:t>
      </w:r>
      <w:r w:rsidRPr="00EA27FF">
        <w:rPr>
          <w:rFonts w:ascii="Times New Roman" w:hAnsi="Times New Roman" w:cs="Times New Roman"/>
          <w:sz w:val="24"/>
          <w:szCs w:val="24"/>
        </w:rPr>
        <w:t>ne fois que la réussite est atteinte, l’enseignant fait vivre d’autres réussites semblables en modifiant un peu les situations d’apprentissage</w:t>
      </w:r>
      <w:r>
        <w:rPr>
          <w:rFonts w:ascii="Times New Roman" w:hAnsi="Times New Roman" w:cs="Times New Roman"/>
          <w:sz w:val="24"/>
          <w:szCs w:val="24"/>
        </w:rPr>
        <w:t xml:space="preserve"> et en retirant son aide progressivement. Ai</w:t>
      </w:r>
      <w:r w:rsidRPr="00EA27FF">
        <w:rPr>
          <w:rFonts w:ascii="Times New Roman" w:hAnsi="Times New Roman" w:cs="Times New Roman"/>
          <w:sz w:val="24"/>
          <w:szCs w:val="24"/>
        </w:rPr>
        <w:t xml:space="preserve">nsi, </w:t>
      </w:r>
      <w:r w:rsidRPr="00960400">
        <w:rPr>
          <w:rFonts w:ascii="Times New Roman" w:hAnsi="Times New Roman" w:cs="Times New Roman"/>
          <w:b/>
          <w:sz w:val="24"/>
          <w:szCs w:val="24"/>
        </w:rPr>
        <w:t>la répétition de la réussite</w:t>
      </w:r>
      <w:r w:rsidRPr="00EA27FF">
        <w:rPr>
          <w:rFonts w:ascii="Times New Roman" w:hAnsi="Times New Roman" w:cs="Times New Roman"/>
          <w:sz w:val="24"/>
          <w:szCs w:val="24"/>
        </w:rPr>
        <w:t xml:space="preserve"> enracine plus solidement l’apprentissage de telle sorte qu’il devient stable et durable.</w:t>
      </w:r>
      <w:r>
        <w:rPr>
          <w:rFonts w:ascii="Times New Roman" w:hAnsi="Times New Roman" w:cs="Times New Roman"/>
          <w:sz w:val="24"/>
          <w:szCs w:val="24"/>
        </w:rPr>
        <w:t xml:space="preserve"> Certains parlent ici de surapprentissage. Il s’agit d’apprendre solidement les schèmes d’action cognitive (les processus) pour que l’apprentissage soit tellement bien acquis que l’apprenant va pouvoir facilement le mobiliser dans l’avenir et va pouvoir se consacrer à de nouveaux apprentissages. </w:t>
      </w:r>
    </w:p>
    <w:p w14:paraId="2CA830EF" w14:textId="77777777" w:rsidR="00E83242" w:rsidRDefault="00E83242" w:rsidP="00E83242">
      <w:pPr>
        <w:spacing w:line="300" w:lineRule="exact"/>
        <w:jc w:val="both"/>
        <w:rPr>
          <w:rFonts w:ascii="Times New Roman" w:hAnsi="Times New Roman" w:cs="Times New Roman"/>
          <w:sz w:val="24"/>
          <w:szCs w:val="24"/>
        </w:rPr>
      </w:pPr>
    </w:p>
    <w:sdt>
      <w:sdtPr>
        <w:rPr>
          <w:rFonts w:ascii="Calibri" w:eastAsia="Calibri" w:hAnsi="Calibri" w:cs="Times New Roman"/>
        </w:rPr>
        <w:id w:val="-1509054924"/>
        <w:docPartObj>
          <w:docPartGallery w:val="Cover Pages"/>
          <w:docPartUnique/>
        </w:docPartObj>
      </w:sdtPr>
      <w:sdtEndPr>
        <w:rPr>
          <w:noProof/>
          <w:lang w:eastAsia="fr-CA"/>
        </w:rPr>
      </w:sdtEndPr>
      <w:sdtContent>
        <w:p w14:paraId="4B69FE31" w14:textId="7E9ED7D8" w:rsidR="00E83242" w:rsidRPr="002821BF" w:rsidRDefault="00E83242" w:rsidP="00E83242">
          <w:pPr>
            <w:rPr>
              <w:rFonts w:ascii="Calibri" w:eastAsia="Calibri" w:hAnsi="Calibri" w:cs="Times New Roman"/>
              <w:noProof/>
              <w:lang w:eastAsia="fr-CA"/>
            </w:rPr>
          </w:pPr>
          <w:r w:rsidRPr="00FD0B76">
            <w:rPr>
              <w:rFonts w:ascii="Calibri" w:eastAsia="Calibri" w:hAnsi="Calibri" w:cs="Times New Roman"/>
              <w:noProof/>
              <w:lang w:eastAsia="fr-CA"/>
            </w:rPr>
            <w:drawing>
              <wp:inline distT="0" distB="0" distL="0" distR="0" wp14:anchorId="3C496E93" wp14:editId="6823CFE5">
                <wp:extent cx="838200" cy="295275"/>
                <wp:effectExtent l="0" t="0" r="0" b="9525"/>
                <wp:docPr id="15" name="Image 4" descr="Licence Creative Comm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9025AE">
            <w:rPr>
              <w:rFonts w:ascii="Calibri" w:eastAsia="Calibri" w:hAnsi="Calibri" w:cs="Times New Roman"/>
            </w:rPr>
            <w:t>4</w:t>
          </w:r>
          <w:r>
            <w:rPr>
              <w:rFonts w:ascii="Calibri" w:eastAsia="Calibri" w:hAnsi="Calibri" w:cs="Times New Roman"/>
            </w:rPr>
            <w:t xml:space="preserve">   </w:t>
          </w:r>
          <w:r w:rsidRPr="00D469BF">
            <w:rPr>
              <w:rFonts w:ascii="Calibri" w:eastAsia="Calibri" w:hAnsi="Calibri" w:cs="Times New Roman"/>
              <w:i/>
            </w:rPr>
            <w:t xml:space="preserve">Les </w:t>
          </w:r>
          <w:r>
            <w:rPr>
              <w:rFonts w:ascii="Calibri" w:eastAsia="Calibri" w:hAnsi="Calibri" w:cs="Times New Roman"/>
              <w:i/>
            </w:rPr>
            <w:t>3 étapes de la phase 2</w:t>
          </w:r>
          <w:r w:rsidRPr="00D469BF">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sdtContent>
    </w:sdt>
    <w:p w14:paraId="5947AB90" w14:textId="77777777" w:rsidR="00E83242" w:rsidRDefault="00E83242" w:rsidP="00E83242">
      <w:pPr>
        <w:spacing w:after="0" w:line="300" w:lineRule="exact"/>
        <w:jc w:val="center"/>
        <w:rPr>
          <w:rFonts w:ascii="Times New Roman" w:hAnsi="Times New Roman" w:cs="Times New Roman"/>
          <w:sz w:val="24"/>
          <w:szCs w:val="24"/>
        </w:rPr>
      </w:pPr>
    </w:p>
    <w:sectPr w:rsidR="00E83242" w:rsidSect="001572CD">
      <w:pgSz w:w="11906" w:h="16838" w:code="9"/>
      <w:pgMar w:top="851"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9509" w14:textId="77777777" w:rsidR="005268D7" w:rsidRDefault="005268D7" w:rsidP="005268D7">
      <w:pPr>
        <w:spacing w:after="0" w:line="240" w:lineRule="auto"/>
      </w:pPr>
      <w:r>
        <w:separator/>
      </w:r>
    </w:p>
  </w:endnote>
  <w:endnote w:type="continuationSeparator" w:id="0">
    <w:p w14:paraId="14ACDCDB" w14:textId="77777777" w:rsidR="005268D7" w:rsidRDefault="005268D7" w:rsidP="0052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6C46" w14:textId="77777777" w:rsidR="005268D7" w:rsidRDefault="005268D7" w:rsidP="005268D7">
      <w:pPr>
        <w:spacing w:after="0" w:line="240" w:lineRule="auto"/>
      </w:pPr>
      <w:r>
        <w:separator/>
      </w:r>
    </w:p>
  </w:footnote>
  <w:footnote w:type="continuationSeparator" w:id="0">
    <w:p w14:paraId="139B463A" w14:textId="77777777" w:rsidR="005268D7" w:rsidRDefault="005268D7" w:rsidP="00526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D7"/>
    <w:rsid w:val="00014623"/>
    <w:rsid w:val="0014706F"/>
    <w:rsid w:val="001572CD"/>
    <w:rsid w:val="001F3AD3"/>
    <w:rsid w:val="00215BC6"/>
    <w:rsid w:val="00236125"/>
    <w:rsid w:val="00330E36"/>
    <w:rsid w:val="003B110F"/>
    <w:rsid w:val="0044578D"/>
    <w:rsid w:val="004B3867"/>
    <w:rsid w:val="005268D7"/>
    <w:rsid w:val="005A3516"/>
    <w:rsid w:val="005D20B0"/>
    <w:rsid w:val="005D243A"/>
    <w:rsid w:val="005D5050"/>
    <w:rsid w:val="00622F04"/>
    <w:rsid w:val="006429A6"/>
    <w:rsid w:val="0073420B"/>
    <w:rsid w:val="00741752"/>
    <w:rsid w:val="00743D10"/>
    <w:rsid w:val="0075700B"/>
    <w:rsid w:val="00816C2F"/>
    <w:rsid w:val="00821B68"/>
    <w:rsid w:val="00844D37"/>
    <w:rsid w:val="0084578A"/>
    <w:rsid w:val="00845F8F"/>
    <w:rsid w:val="00851A48"/>
    <w:rsid w:val="00886E27"/>
    <w:rsid w:val="008E4E71"/>
    <w:rsid w:val="008F2FF9"/>
    <w:rsid w:val="008F4E3A"/>
    <w:rsid w:val="009025AE"/>
    <w:rsid w:val="00960400"/>
    <w:rsid w:val="00A70C94"/>
    <w:rsid w:val="00AD5097"/>
    <w:rsid w:val="00B644B3"/>
    <w:rsid w:val="00C05031"/>
    <w:rsid w:val="00C515B4"/>
    <w:rsid w:val="00D36F74"/>
    <w:rsid w:val="00D8723E"/>
    <w:rsid w:val="00E52F6F"/>
    <w:rsid w:val="00E83242"/>
    <w:rsid w:val="00EA4CBF"/>
    <w:rsid w:val="00F93216"/>
    <w:rsid w:val="00F934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AEE4"/>
  <w15:chartTrackingRefBased/>
  <w15:docId w15:val="{64B432FB-7895-4857-B50D-5A7AAF89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8D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5268D7"/>
    <w:pPr>
      <w:spacing w:after="0" w:line="240" w:lineRule="auto"/>
    </w:pPr>
    <w:rPr>
      <w:sz w:val="20"/>
      <w:szCs w:val="20"/>
    </w:rPr>
  </w:style>
  <w:style w:type="character" w:customStyle="1" w:styleId="NotedebasdepageCar">
    <w:name w:val="Note de bas de page Car"/>
    <w:basedOn w:val="Policepardfaut"/>
    <w:link w:val="Notedebasdepage"/>
    <w:semiHidden/>
    <w:rsid w:val="005268D7"/>
    <w:rPr>
      <w:sz w:val="20"/>
      <w:szCs w:val="20"/>
    </w:rPr>
  </w:style>
  <w:style w:type="character" w:styleId="Appelnotedebasdep">
    <w:name w:val="footnote reference"/>
    <w:basedOn w:val="Policepardfaut"/>
    <w:semiHidden/>
    <w:unhideWhenUsed/>
    <w:rsid w:val="005268D7"/>
    <w:rPr>
      <w:vertAlign w:val="superscript"/>
    </w:rPr>
  </w:style>
  <w:style w:type="table" w:styleId="Grilledutableau">
    <w:name w:val="Table Grid"/>
    <w:basedOn w:val="TableauNormal"/>
    <w:uiPriority w:val="59"/>
    <w:rsid w:val="0052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E4E71"/>
    <w:rPr>
      <w:sz w:val="16"/>
      <w:szCs w:val="16"/>
    </w:rPr>
  </w:style>
  <w:style w:type="paragraph" w:styleId="Commentaire">
    <w:name w:val="annotation text"/>
    <w:basedOn w:val="Normal"/>
    <w:link w:val="CommentaireCar"/>
    <w:uiPriority w:val="99"/>
    <w:semiHidden/>
    <w:unhideWhenUsed/>
    <w:rsid w:val="008E4E71"/>
    <w:pPr>
      <w:spacing w:line="240" w:lineRule="auto"/>
    </w:pPr>
    <w:rPr>
      <w:sz w:val="20"/>
      <w:szCs w:val="20"/>
    </w:rPr>
  </w:style>
  <w:style w:type="character" w:customStyle="1" w:styleId="CommentaireCar">
    <w:name w:val="Commentaire Car"/>
    <w:basedOn w:val="Policepardfaut"/>
    <w:link w:val="Commentaire"/>
    <w:uiPriority w:val="99"/>
    <w:semiHidden/>
    <w:rsid w:val="008E4E71"/>
    <w:rPr>
      <w:sz w:val="20"/>
      <w:szCs w:val="20"/>
    </w:rPr>
  </w:style>
  <w:style w:type="paragraph" w:styleId="Objetducommentaire">
    <w:name w:val="annotation subject"/>
    <w:basedOn w:val="Commentaire"/>
    <w:next w:val="Commentaire"/>
    <w:link w:val="ObjetducommentaireCar"/>
    <w:uiPriority w:val="99"/>
    <w:semiHidden/>
    <w:unhideWhenUsed/>
    <w:rsid w:val="008E4E71"/>
    <w:rPr>
      <w:b/>
      <w:bCs/>
    </w:rPr>
  </w:style>
  <w:style w:type="character" w:customStyle="1" w:styleId="ObjetducommentaireCar">
    <w:name w:val="Objet du commentaire Car"/>
    <w:basedOn w:val="CommentaireCar"/>
    <w:link w:val="Objetducommentaire"/>
    <w:uiPriority w:val="99"/>
    <w:semiHidden/>
    <w:rsid w:val="008E4E71"/>
    <w:rPr>
      <w:b/>
      <w:bCs/>
      <w:sz w:val="20"/>
      <w:szCs w:val="20"/>
    </w:rPr>
  </w:style>
  <w:style w:type="paragraph" w:styleId="Textedebulles">
    <w:name w:val="Balloon Text"/>
    <w:basedOn w:val="Normal"/>
    <w:link w:val="TextedebullesCar"/>
    <w:uiPriority w:val="99"/>
    <w:semiHidden/>
    <w:unhideWhenUsed/>
    <w:rsid w:val="008E4E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4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creativecommons.org/licenses/by-nc-sa/4.0/"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BD04-A6AE-42C3-8286-8AE04A0F96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636E2CB7-A6AD-4B01-B879-54452F47111B}">
  <ds:schemaRefs>
    <ds:schemaRef ds:uri="http://schemas.microsoft.com/sharepoint/v3/contenttype/forms"/>
  </ds:schemaRefs>
</ds:datastoreItem>
</file>

<file path=customXml/itemProps3.xml><?xml version="1.0" encoding="utf-8"?>
<ds:datastoreItem xmlns:ds="http://schemas.openxmlformats.org/officeDocument/2006/customXml" ds:itemID="{95C226EF-C8A8-4142-B7C6-F8EC3950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D9F9D-EE34-4854-962A-AFDA87C5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2</cp:revision>
  <dcterms:created xsi:type="dcterms:W3CDTF">2024-03-08T02:10:00Z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