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eastAsia="Calibri" w:hAnsi="Calibri" w:cs="Times New Roman"/>
        </w:rPr>
        <w:id w:val="1742057624"/>
        <w:docPartObj>
          <w:docPartGallery w:val="Cover Pages"/>
          <w:docPartUnique/>
        </w:docPartObj>
      </w:sdtPr>
      <w:sdtEndPr>
        <w:rPr>
          <w:noProof/>
          <w:lang w:eastAsia="fr-CA"/>
        </w:rPr>
      </w:sdtEndPr>
      <w:sdtContent>
        <w:p w14:paraId="11D9DCB7" w14:textId="77777777" w:rsidR="00F61D9B" w:rsidRPr="00FD0B76" w:rsidRDefault="00F61D9B" w:rsidP="00F61D9B">
          <w:pPr>
            <w:rPr>
              <w:rFonts w:ascii="Calibri" w:eastAsia="Calibri" w:hAnsi="Calibri" w:cs="Times New Roman"/>
            </w:rPr>
          </w:pPr>
          <w:r w:rsidRPr="00FD0B76">
            <w:rPr>
              <w:rFonts w:ascii="Calibri" w:eastAsia="Calibri" w:hAnsi="Calibri" w:cs="Times New Roman"/>
              <w:noProof/>
              <w:lang w:eastAsia="fr-CA"/>
            </w:rPr>
            <w:drawing>
              <wp:inline distT="0" distB="0" distL="0" distR="0" wp14:anchorId="293B6EC4" wp14:editId="68151D5B">
                <wp:extent cx="2470068" cy="1235034"/>
                <wp:effectExtent l="0" t="0" r="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309" cy="1235154"/>
                        </a:xfrm>
                        <a:prstGeom prst="rect">
                          <a:avLst/>
                        </a:prstGeom>
                        <a:noFill/>
                        <a:ln>
                          <a:noFill/>
                        </a:ln>
                      </pic:spPr>
                    </pic:pic>
                  </a:graphicData>
                </a:graphic>
              </wp:inline>
            </w:drawing>
          </w:r>
          <w:r w:rsidRPr="00FD0B76">
            <w:rPr>
              <w:rFonts w:ascii="Calibri" w:eastAsia="Calibri" w:hAnsi="Calibri" w:cs="Times New Roman"/>
              <w:noProof/>
              <w:lang w:eastAsia="fr-CA"/>
            </w:rPr>
            <w:drawing>
              <wp:anchor distT="0" distB="0" distL="114300" distR="114300" simplePos="0" relativeHeight="251659264" behindDoc="1" locked="0" layoutInCell="1" allowOverlap="1" wp14:anchorId="0D142931" wp14:editId="597CFD50">
                <wp:simplePos x="0" y="0"/>
                <wp:positionH relativeFrom="column">
                  <wp:posOffset>2952750</wp:posOffset>
                </wp:positionH>
                <wp:positionV relativeFrom="paragraph">
                  <wp:posOffset>-635</wp:posOffset>
                </wp:positionV>
                <wp:extent cx="2853055" cy="1024255"/>
                <wp:effectExtent l="0" t="0" r="4445" b="4445"/>
                <wp:wrapTight wrapText="bothSides">
                  <wp:wrapPolygon edited="0">
                    <wp:start x="3606" y="0"/>
                    <wp:lineTo x="2740" y="1607"/>
                    <wp:lineTo x="1586" y="5223"/>
                    <wp:lineTo x="721" y="9642"/>
                    <wp:lineTo x="0" y="12454"/>
                    <wp:lineTo x="0" y="18078"/>
                    <wp:lineTo x="144" y="19283"/>
                    <wp:lineTo x="1442" y="21292"/>
                    <wp:lineTo x="1731" y="21292"/>
                    <wp:lineTo x="2740" y="21292"/>
                    <wp:lineTo x="8365" y="21292"/>
                    <wp:lineTo x="16297" y="20087"/>
                    <wp:lineTo x="16153" y="19283"/>
                    <wp:lineTo x="19182" y="15668"/>
                    <wp:lineTo x="18893" y="12856"/>
                    <wp:lineTo x="21489" y="12052"/>
                    <wp:lineTo x="21489" y="4419"/>
                    <wp:lineTo x="6057" y="0"/>
                    <wp:lineTo x="360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3055" cy="1024255"/>
                        </a:xfrm>
                        <a:prstGeom prst="rect">
                          <a:avLst/>
                        </a:prstGeom>
                        <a:noFill/>
                      </pic:spPr>
                    </pic:pic>
                  </a:graphicData>
                </a:graphic>
              </wp:anchor>
            </w:drawing>
          </w:r>
        </w:p>
        <w:p w14:paraId="6DF50E6E" w14:textId="77777777" w:rsidR="00F61D9B" w:rsidRDefault="00F61D9B" w:rsidP="00F61D9B">
          <w:pPr>
            <w:jc w:val="center"/>
            <w:rPr>
              <w:rFonts w:ascii="Calibri Light" w:eastAsia="Calibri" w:hAnsi="Calibri Light" w:cs="Times New Roman"/>
            </w:rPr>
          </w:pPr>
        </w:p>
        <w:p w14:paraId="6D377A69" w14:textId="77777777" w:rsidR="00F61D9B" w:rsidRPr="00FD0B76" w:rsidRDefault="00F61D9B" w:rsidP="00F61D9B">
          <w:pPr>
            <w:jc w:val="center"/>
            <w:rPr>
              <w:rFonts w:ascii="Calibri Light" w:eastAsia="Calibri" w:hAnsi="Calibri Light" w:cs="Times New Roman"/>
            </w:rPr>
          </w:pPr>
        </w:p>
        <w:p w14:paraId="045FF014" w14:textId="77777777" w:rsidR="00F61D9B" w:rsidRPr="00FD0B76" w:rsidRDefault="00F61D9B" w:rsidP="00F61D9B">
          <w:pPr>
            <w:jc w:val="center"/>
            <w:rPr>
              <w:rFonts w:ascii="Calibri Light" w:eastAsia="Calibri" w:hAnsi="Calibri Light" w:cs="Times New Roman"/>
            </w:rPr>
          </w:pPr>
        </w:p>
        <w:p w14:paraId="6F89F253" w14:textId="77777777" w:rsidR="00F61D9B" w:rsidRPr="008B0265" w:rsidRDefault="00F61D9B" w:rsidP="00F61D9B">
          <w:pPr>
            <w:ind w:left="426"/>
            <w:jc w:val="center"/>
            <w:rPr>
              <w:rFonts w:ascii="Calibri Light" w:eastAsia="Calibri" w:hAnsi="Calibri Light" w:cs="Times New Roman"/>
              <w:b/>
              <w:sz w:val="72"/>
              <w:szCs w:val="72"/>
            </w:rPr>
          </w:pPr>
          <w:r>
            <w:rPr>
              <w:rFonts w:ascii="Calibri Light" w:eastAsia="Calibri" w:hAnsi="Calibri Light" w:cs="Times New Roman"/>
              <w:b/>
              <w:sz w:val="72"/>
              <w:szCs w:val="72"/>
            </w:rPr>
            <w:t>L’approche par compétences</w:t>
          </w:r>
        </w:p>
        <w:p w14:paraId="1A2249CC" w14:textId="77777777" w:rsidR="00F61D9B" w:rsidRPr="00FD0B76" w:rsidRDefault="00F61D9B" w:rsidP="00F61D9B">
          <w:pPr>
            <w:jc w:val="center"/>
            <w:rPr>
              <w:rFonts w:ascii="Calibri Light" w:eastAsia="Calibri" w:hAnsi="Calibri Light" w:cs="Times New Roman"/>
              <w:b/>
              <w:sz w:val="72"/>
              <w:szCs w:val="72"/>
            </w:rPr>
          </w:pPr>
        </w:p>
        <w:p w14:paraId="3075E376" w14:textId="77777777" w:rsidR="00F61D9B" w:rsidRPr="00FD0B76" w:rsidRDefault="00F61D9B" w:rsidP="00F61D9B">
          <w:pPr>
            <w:ind w:left="851"/>
            <w:jc w:val="center"/>
            <w:rPr>
              <w:rFonts w:ascii="Calibri Light" w:eastAsia="Calibri" w:hAnsi="Calibri Light" w:cs="Times New Roman"/>
              <w:sz w:val="32"/>
            </w:rPr>
          </w:pPr>
          <w:r w:rsidRPr="00FD0B76">
            <w:rPr>
              <w:rFonts w:ascii="Calibri Light" w:eastAsia="Calibri" w:hAnsi="Calibri Light" w:cs="Times New Roman"/>
              <w:b/>
              <w:sz w:val="32"/>
            </w:rPr>
            <w:t>François Guillemette</w:t>
          </w:r>
          <w:r w:rsidRPr="00FD0B76">
            <w:rPr>
              <w:rFonts w:ascii="Calibri Light" w:eastAsia="Calibri" w:hAnsi="Calibri Light" w:cs="Times New Roman"/>
              <w:sz w:val="32"/>
            </w:rPr>
            <w:t xml:space="preserve">, professeur titulaire, Département des sciences de l’éducation </w:t>
          </w:r>
          <w:r w:rsidRPr="00FD0B76">
            <w:rPr>
              <w:rFonts w:ascii="Calibri Light" w:eastAsia="Calibri" w:hAnsi="Calibri Light" w:cs="Times New Roman"/>
              <w:sz w:val="32"/>
            </w:rPr>
            <w:br/>
          </w:r>
          <w:r w:rsidRPr="00FD0B76">
            <w:rPr>
              <w:rFonts w:ascii="Calibri Light" w:eastAsia="Calibri" w:hAnsi="Calibri Light" w:cs="Times New Roman"/>
              <w:b/>
              <w:sz w:val="32"/>
            </w:rPr>
            <w:t>Céline Leblanc</w:t>
          </w:r>
          <w:r w:rsidRPr="00FD0B76">
            <w:rPr>
              <w:rFonts w:ascii="Calibri Light" w:eastAsia="Calibri" w:hAnsi="Calibri Light" w:cs="Times New Roman"/>
              <w:sz w:val="32"/>
            </w:rPr>
            <w:t xml:space="preserve">, conseillère pédagogique, Bureau de pédagogie et de formation à distance  </w:t>
          </w:r>
          <w:r w:rsidRPr="00FD0B76">
            <w:rPr>
              <w:rFonts w:ascii="Calibri Light" w:eastAsia="Calibri" w:hAnsi="Calibri Light" w:cs="Times New Roman"/>
              <w:sz w:val="32"/>
            </w:rPr>
            <w:br/>
          </w:r>
          <w:r w:rsidRPr="00FD0B76">
            <w:rPr>
              <w:rFonts w:ascii="Calibri Light" w:eastAsia="Calibri" w:hAnsi="Calibri Light" w:cs="Times New Roman"/>
              <w:b/>
              <w:sz w:val="32"/>
            </w:rPr>
            <w:t>Katia Renaud</w:t>
          </w:r>
          <w:r w:rsidRPr="00FD0B76">
            <w:rPr>
              <w:rFonts w:ascii="Calibri Light" w:eastAsia="Calibri" w:hAnsi="Calibri Light" w:cs="Times New Roman"/>
              <w:sz w:val="32"/>
            </w:rPr>
            <w:t>, auxiliaire de recherche, Département des sciences de l’éducation</w:t>
          </w:r>
        </w:p>
        <w:p w14:paraId="35A4033B" w14:textId="77777777" w:rsidR="00F61D9B" w:rsidRDefault="00F61D9B" w:rsidP="00F61D9B">
          <w:pPr>
            <w:jc w:val="center"/>
            <w:rPr>
              <w:rFonts w:ascii="Calibri" w:eastAsia="Calibri" w:hAnsi="Calibri" w:cs="Times New Roman"/>
            </w:rPr>
          </w:pPr>
        </w:p>
        <w:p w14:paraId="701CAE58" w14:textId="77777777" w:rsidR="00F61D9B" w:rsidRPr="00FD0B76" w:rsidRDefault="00F61D9B" w:rsidP="00F61D9B">
          <w:pPr>
            <w:jc w:val="center"/>
            <w:rPr>
              <w:rFonts w:ascii="Calibri" w:eastAsia="Calibri" w:hAnsi="Calibri" w:cs="Times New Roman"/>
            </w:rPr>
          </w:pPr>
        </w:p>
        <w:p w14:paraId="175963DA" w14:textId="77777777" w:rsidR="00F61D9B" w:rsidRPr="00FD0B76" w:rsidRDefault="00F61D9B" w:rsidP="00F61D9B">
          <w:pPr>
            <w:jc w:val="center"/>
            <w:rPr>
              <w:rFonts w:ascii="Calibri" w:eastAsia="Calibri" w:hAnsi="Calibri" w:cs="Times New Roman"/>
            </w:rPr>
          </w:pPr>
        </w:p>
        <w:p w14:paraId="5B585BAA" w14:textId="77777777" w:rsidR="00F61D9B" w:rsidRDefault="00F61D9B" w:rsidP="00F61D9B">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2B0ECEF7" wp14:editId="72269898">
                <wp:extent cx="838200" cy="295275"/>
                <wp:effectExtent l="0" t="0" r="0" b="9525"/>
                <wp:docPr id="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7C16ECF" w14:textId="3C76F854" w:rsidR="00F61D9B" w:rsidRPr="00FD0B76" w:rsidRDefault="008B7BA5" w:rsidP="00F61D9B">
          <w:pPr>
            <w:jc w:val="center"/>
            <w:rPr>
              <w:rFonts w:ascii="Calibri" w:eastAsia="Calibri" w:hAnsi="Calibri" w:cs="Times New Roman"/>
            </w:rPr>
          </w:pPr>
          <w:r>
            <w:rPr>
              <w:rFonts w:ascii="Calibri" w:eastAsia="Calibri" w:hAnsi="Calibri" w:cs="Times New Roman"/>
            </w:rPr>
            <w:t>202</w:t>
          </w:r>
          <w:r w:rsidR="00C97387">
            <w:rPr>
              <w:rFonts w:ascii="Calibri" w:eastAsia="Calibri" w:hAnsi="Calibri" w:cs="Times New Roman"/>
            </w:rPr>
            <w:t>3</w:t>
          </w:r>
        </w:p>
        <w:p w14:paraId="02C4E42E" w14:textId="77777777" w:rsidR="00F61D9B" w:rsidRDefault="008773F8" w:rsidP="00F61D9B">
          <w:pPr>
            <w:tabs>
              <w:tab w:val="left" w:pos="2861"/>
            </w:tabs>
            <w:jc w:val="center"/>
            <w:rPr>
              <w:rFonts w:ascii="Calibri" w:eastAsia="Calibri" w:hAnsi="Calibri" w:cs="Times New Roman"/>
              <w:noProof/>
            </w:rPr>
          </w:pPr>
          <w:r w:rsidRPr="008773F8">
            <w:rPr>
              <w:rFonts w:ascii="Calibri" w:eastAsia="Calibri" w:hAnsi="Calibri" w:cs="Times New Roman"/>
              <w:i/>
            </w:rPr>
            <w:t>L’approche par compétences</w:t>
          </w:r>
          <w:r w:rsidR="00FE0DE8">
            <w:rPr>
              <w:rFonts w:ascii="Calibri" w:eastAsia="Calibri" w:hAnsi="Calibri" w:cs="Times New Roman"/>
              <w:i/>
            </w:rPr>
            <w:t>.</w:t>
          </w:r>
          <w:r w:rsidR="00F61D9B">
            <w:rPr>
              <w:rFonts w:ascii="Calibri" w:eastAsia="Calibri" w:hAnsi="Calibri" w:cs="Times New Roman"/>
            </w:rPr>
            <w:t xml:space="preserve"> </w:t>
          </w:r>
          <w:r w:rsidR="00F61D9B" w:rsidRPr="00FD0B76">
            <w:rPr>
              <w:rFonts w:ascii="Calibri" w:eastAsia="Calibri" w:hAnsi="Calibri" w:cs="Times New Roman"/>
            </w:rPr>
            <w:t>de F. Guillemette, C. Leblanc &amp; K. Renaud est mis à disposition selon les termes de la licence Creative Commons Attribution - Pas d’Utilisation Commerciale - Partage dans les Mêmes Conditions 4.0 International.</w:t>
          </w:r>
        </w:p>
      </w:sdtContent>
    </w:sdt>
    <w:p w14:paraId="6059C025" w14:textId="77777777" w:rsidR="00D54618" w:rsidRDefault="00D54618">
      <w:pPr>
        <w:spacing w:after="160" w:line="259" w:lineRule="auto"/>
        <w:rPr>
          <w:rFonts w:ascii="Times New Roman" w:hAnsi="Times New Roman" w:cs="Times New Roman"/>
          <w:b/>
          <w:i/>
          <w:sz w:val="32"/>
          <w:szCs w:val="32"/>
        </w:rPr>
      </w:pPr>
      <w:r>
        <w:rPr>
          <w:rFonts w:ascii="Times New Roman" w:hAnsi="Times New Roman" w:cs="Times New Roman"/>
          <w:b/>
          <w:i/>
          <w:sz w:val="32"/>
          <w:szCs w:val="32"/>
        </w:rPr>
        <w:br w:type="page"/>
      </w:r>
    </w:p>
    <w:p w14:paraId="7BADC1A3" w14:textId="171A560F" w:rsidR="00583FCE" w:rsidRDefault="00583FCE" w:rsidP="00B83B90">
      <w:pPr>
        <w:spacing w:after="0" w:line="240" w:lineRule="auto"/>
        <w:rPr>
          <w:rFonts w:ascii="Times New Roman" w:hAnsi="Times New Roman" w:cs="Times New Roman"/>
          <w:b/>
          <w:i/>
          <w:sz w:val="32"/>
          <w:szCs w:val="32"/>
        </w:rPr>
      </w:pPr>
      <w:r w:rsidRPr="00FB7F3A">
        <w:rPr>
          <w:rFonts w:ascii="Times New Roman" w:hAnsi="Times New Roman" w:cs="Times New Roman"/>
          <w:b/>
          <w:i/>
          <w:sz w:val="32"/>
          <w:szCs w:val="32"/>
        </w:rPr>
        <w:lastRenderedPageBreak/>
        <w:t>Approche par compétences</w:t>
      </w:r>
      <w:r w:rsidR="00800E08">
        <w:rPr>
          <w:rFonts w:ascii="Times New Roman" w:hAnsi="Times New Roman" w:cs="Times New Roman"/>
          <w:b/>
          <w:i/>
          <w:sz w:val="32"/>
          <w:szCs w:val="32"/>
        </w:rPr>
        <w:t xml:space="preserve"> (APC)</w:t>
      </w:r>
    </w:p>
    <w:p w14:paraId="68644AD9" w14:textId="77777777" w:rsidR="00CF469A" w:rsidRPr="009F291C" w:rsidRDefault="00CF469A" w:rsidP="00B83B90">
      <w:pPr>
        <w:spacing w:after="0" w:line="240" w:lineRule="auto"/>
        <w:rPr>
          <w:rFonts w:ascii="Times New Roman" w:hAnsi="Times New Roman" w:cs="Times New Roman"/>
          <w:b/>
          <w:i/>
          <w: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542"/>
      </w:tblGrid>
      <w:tr w:rsidR="00583FCE" w:rsidRPr="009F291C" w14:paraId="2FF92EAB"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hideMark/>
          </w:tcPr>
          <w:p w14:paraId="53EA94C2" w14:textId="77777777" w:rsidR="00583FCE" w:rsidRPr="009F291C" w:rsidRDefault="00583FCE" w:rsidP="00D230AC">
            <w:pPr>
              <w:spacing w:after="0" w:line="240" w:lineRule="auto"/>
              <w:rPr>
                <w:rFonts w:ascii="Times New Roman" w:hAnsi="Times New Roman" w:cs="Times New Roman"/>
                <w:sz w:val="24"/>
                <w:szCs w:val="24"/>
              </w:rPr>
            </w:pPr>
            <w:r w:rsidRPr="0005456F">
              <w:rPr>
                <w:rFonts w:ascii="Times New Roman" w:hAnsi="Times New Roman" w:cs="Times New Roman"/>
                <w:b/>
                <w:sz w:val="24"/>
                <w:szCs w:val="24"/>
              </w:rPr>
              <w:t>Définition du terme « compétence »</w:t>
            </w:r>
            <w:r w:rsidRPr="009F291C">
              <w:rPr>
                <w:rFonts w:ascii="Times New Roman" w:hAnsi="Times New Roman" w:cs="Times New Roman"/>
                <w:sz w:val="24"/>
                <w:szCs w:val="24"/>
              </w:rPr>
              <w:t xml:space="preserve"> au fondement de l’</w:t>
            </w:r>
            <w:r w:rsidR="00FB5D6C">
              <w:rPr>
                <w:rFonts w:ascii="Times New Roman" w:hAnsi="Times New Roman" w:cs="Times New Roman"/>
                <w:sz w:val="24"/>
                <w:szCs w:val="24"/>
              </w:rPr>
              <w:t>approche par compétences (</w:t>
            </w:r>
            <w:r w:rsidRPr="009F291C">
              <w:rPr>
                <w:rFonts w:ascii="Times New Roman" w:hAnsi="Times New Roman" w:cs="Times New Roman"/>
                <w:sz w:val="24"/>
                <w:szCs w:val="24"/>
              </w:rPr>
              <w:t>APC</w:t>
            </w:r>
            <w:r w:rsidR="00FB5D6C">
              <w:rPr>
                <w:rFonts w:ascii="Times New Roman" w:hAnsi="Times New Roman" w:cs="Times New Roman"/>
                <w:sz w:val="24"/>
                <w:szCs w:val="24"/>
              </w:rPr>
              <w:t>)</w:t>
            </w:r>
            <w:r w:rsidRPr="009F291C">
              <w:rPr>
                <w:rFonts w:ascii="Times New Roman" w:hAnsi="Times New Roman" w:cs="Times New Roman"/>
                <w:sz w:val="24"/>
                <w:szCs w:val="24"/>
              </w:rPr>
              <w:t> :</w:t>
            </w:r>
          </w:p>
          <w:p w14:paraId="6959AAC5" w14:textId="53D494DA" w:rsidR="00583FCE" w:rsidRPr="009F291C" w:rsidRDefault="00583FCE" w:rsidP="00D85206">
            <w:pPr>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 compétence est une </w:t>
            </w:r>
            <w:r w:rsidRPr="009F291C">
              <w:rPr>
                <w:rFonts w:ascii="Times New Roman" w:hAnsi="Times New Roman" w:cs="Times New Roman"/>
                <w:b/>
                <w:bCs/>
                <w:sz w:val="24"/>
                <w:szCs w:val="24"/>
              </w:rPr>
              <w:t>action</w:t>
            </w:r>
            <w:r w:rsidRPr="009F291C">
              <w:rPr>
                <w:rFonts w:ascii="Times New Roman" w:hAnsi="Times New Roman" w:cs="Times New Roman"/>
                <w:b/>
                <w:sz w:val="24"/>
                <w:szCs w:val="24"/>
              </w:rPr>
              <w:t xml:space="preserve"> </w:t>
            </w:r>
            <w:r w:rsidR="0037602A">
              <w:rPr>
                <w:rFonts w:ascii="Times New Roman" w:hAnsi="Times New Roman" w:cs="Times New Roman"/>
                <w:b/>
                <w:sz w:val="24"/>
                <w:szCs w:val="24"/>
              </w:rPr>
              <w:t xml:space="preserve">stable et </w:t>
            </w:r>
            <w:r w:rsidRPr="009F291C">
              <w:rPr>
                <w:rFonts w:ascii="Times New Roman" w:hAnsi="Times New Roman" w:cs="Times New Roman"/>
                <w:b/>
                <w:bCs/>
                <w:sz w:val="24"/>
                <w:szCs w:val="24"/>
              </w:rPr>
              <w:t>réflexive</w:t>
            </w:r>
            <w:r w:rsidRPr="009F291C">
              <w:rPr>
                <w:rFonts w:ascii="Times New Roman" w:hAnsi="Times New Roman" w:cs="Times New Roman"/>
                <w:sz w:val="24"/>
                <w:szCs w:val="24"/>
              </w:rPr>
              <w:t xml:space="preserve"> de </w:t>
            </w:r>
            <w:r w:rsidRPr="009F291C">
              <w:rPr>
                <w:rFonts w:ascii="Times New Roman" w:hAnsi="Times New Roman" w:cs="Times New Roman"/>
                <w:b/>
                <w:bCs/>
                <w:sz w:val="24"/>
                <w:szCs w:val="24"/>
              </w:rPr>
              <w:t>mobilisation</w:t>
            </w:r>
            <w:r w:rsidRPr="009F291C">
              <w:rPr>
                <w:rFonts w:ascii="Times New Roman" w:hAnsi="Times New Roman" w:cs="Times New Roman"/>
                <w:bCs/>
                <w:sz w:val="24"/>
                <w:szCs w:val="24"/>
              </w:rPr>
              <w:t xml:space="preserve"> </w:t>
            </w:r>
            <w:r w:rsidRPr="009F291C">
              <w:rPr>
                <w:rFonts w:ascii="Times New Roman" w:hAnsi="Times New Roman" w:cs="Times New Roman"/>
                <w:b/>
                <w:bCs/>
                <w:sz w:val="24"/>
                <w:szCs w:val="24"/>
              </w:rPr>
              <w:t>de ressources</w:t>
            </w:r>
            <w:r w:rsidRPr="009F291C">
              <w:rPr>
                <w:rFonts w:ascii="Times New Roman" w:hAnsi="Times New Roman" w:cs="Times New Roman"/>
                <w:bCs/>
                <w:sz w:val="24"/>
                <w:szCs w:val="24"/>
              </w:rPr>
              <w:t xml:space="preserve"> </w:t>
            </w:r>
            <w:r w:rsidRPr="009F291C">
              <w:rPr>
                <w:rFonts w:ascii="Times New Roman" w:hAnsi="Times New Roman" w:cs="Times New Roman"/>
                <w:sz w:val="24"/>
                <w:szCs w:val="24"/>
              </w:rPr>
              <w:t xml:space="preserve">internes structurées et de ressources externes disponibles, cette mobilisation inclut une sélection et une combinaison de ces ressources et est adaptée à une </w:t>
            </w:r>
            <w:r w:rsidRPr="009F291C">
              <w:rPr>
                <w:rFonts w:ascii="Times New Roman" w:hAnsi="Times New Roman" w:cs="Times New Roman"/>
                <w:b/>
                <w:sz w:val="24"/>
                <w:szCs w:val="24"/>
              </w:rPr>
              <w:t>famille de situatio</w:t>
            </w:r>
            <w:r w:rsidR="00671F97">
              <w:rPr>
                <w:rFonts w:ascii="Times New Roman" w:hAnsi="Times New Roman" w:cs="Times New Roman"/>
                <w:b/>
                <w:sz w:val="24"/>
                <w:szCs w:val="24"/>
              </w:rPr>
              <w:t>ns</w:t>
            </w:r>
            <w:r w:rsidRPr="009F291C">
              <w:rPr>
                <w:rFonts w:ascii="Times New Roman" w:hAnsi="Times New Roman" w:cs="Times New Roman"/>
                <w:sz w:val="24"/>
                <w:szCs w:val="24"/>
              </w:rPr>
              <w:t>. (</w:t>
            </w:r>
            <w:r w:rsidR="00D6134C">
              <w:rPr>
                <w:rFonts w:ascii="Times New Roman" w:hAnsi="Times New Roman" w:cs="Times New Roman"/>
                <w:sz w:val="24"/>
                <w:szCs w:val="24"/>
              </w:rPr>
              <w:t xml:space="preserve">Guillemette, 2021; </w:t>
            </w:r>
            <w:r w:rsidRPr="009F291C">
              <w:rPr>
                <w:rFonts w:ascii="Times New Roman" w:hAnsi="Times New Roman" w:cs="Times New Roman"/>
                <w:sz w:val="24"/>
                <w:szCs w:val="24"/>
              </w:rPr>
              <w:t>Guillemette &amp; Gauthier, 2</w:t>
            </w:r>
            <w:r w:rsidR="00734B93">
              <w:rPr>
                <w:rFonts w:ascii="Times New Roman" w:hAnsi="Times New Roman" w:cs="Times New Roman"/>
                <w:sz w:val="24"/>
                <w:szCs w:val="24"/>
              </w:rPr>
              <w:t xml:space="preserve">006; Le Boterf, </w:t>
            </w:r>
            <w:r w:rsidRPr="009F291C">
              <w:rPr>
                <w:rFonts w:ascii="Times New Roman" w:hAnsi="Times New Roman" w:cs="Times New Roman"/>
                <w:sz w:val="24"/>
                <w:szCs w:val="24"/>
              </w:rPr>
              <w:t xml:space="preserve">2001; </w:t>
            </w:r>
            <w:proofErr w:type="spellStart"/>
            <w:r w:rsidRPr="009F291C">
              <w:rPr>
                <w:rFonts w:ascii="Times New Roman" w:hAnsi="Times New Roman" w:cs="Times New Roman"/>
                <w:sz w:val="24"/>
                <w:szCs w:val="24"/>
              </w:rPr>
              <w:t>Masciotra</w:t>
            </w:r>
            <w:proofErr w:type="spellEnd"/>
            <w:r w:rsidRPr="009F291C">
              <w:rPr>
                <w:rFonts w:ascii="Times New Roman" w:hAnsi="Times New Roman" w:cs="Times New Roman"/>
                <w:sz w:val="24"/>
                <w:szCs w:val="24"/>
              </w:rPr>
              <w:t xml:space="preserve"> 20</w:t>
            </w:r>
            <w:r w:rsidR="00D6134C">
              <w:rPr>
                <w:rFonts w:ascii="Times New Roman" w:hAnsi="Times New Roman" w:cs="Times New Roman"/>
                <w:sz w:val="24"/>
                <w:szCs w:val="24"/>
              </w:rPr>
              <w:t>10</w:t>
            </w:r>
            <w:r w:rsidRPr="009F291C">
              <w:rPr>
                <w:rFonts w:ascii="Times New Roman" w:hAnsi="Times New Roman" w:cs="Times New Roman"/>
                <w:sz w:val="24"/>
                <w:szCs w:val="24"/>
              </w:rPr>
              <w:t xml:space="preserve">; </w:t>
            </w:r>
            <w:proofErr w:type="spellStart"/>
            <w:r w:rsidR="00D85206" w:rsidRPr="009F291C">
              <w:rPr>
                <w:rFonts w:ascii="Times New Roman" w:hAnsi="Times New Roman" w:cs="Times New Roman"/>
                <w:sz w:val="24"/>
                <w:szCs w:val="24"/>
              </w:rPr>
              <w:t>Schön</w:t>
            </w:r>
            <w:proofErr w:type="spellEnd"/>
            <w:r w:rsidR="00D85206" w:rsidRPr="009F291C">
              <w:rPr>
                <w:rFonts w:ascii="Times New Roman" w:hAnsi="Times New Roman" w:cs="Times New Roman"/>
                <w:sz w:val="24"/>
                <w:szCs w:val="24"/>
              </w:rPr>
              <w:t>, 1994</w:t>
            </w:r>
            <w:r w:rsidR="00D85206">
              <w:rPr>
                <w:rFonts w:ascii="Times New Roman" w:hAnsi="Times New Roman" w:cs="Times New Roman"/>
                <w:sz w:val="24"/>
                <w:szCs w:val="24"/>
              </w:rPr>
              <w:t xml:space="preserve">; </w:t>
            </w:r>
            <w:r w:rsidRPr="009F291C">
              <w:rPr>
                <w:rFonts w:ascii="Times New Roman" w:hAnsi="Times New Roman" w:cs="Times New Roman"/>
                <w:sz w:val="24"/>
                <w:szCs w:val="24"/>
              </w:rPr>
              <w:t xml:space="preserve">Tardif, </w:t>
            </w:r>
            <w:r w:rsidR="008854D7">
              <w:rPr>
                <w:rFonts w:ascii="Times New Roman" w:hAnsi="Times New Roman" w:cs="Times New Roman"/>
                <w:sz w:val="24"/>
                <w:szCs w:val="24"/>
              </w:rPr>
              <w:t>2017</w:t>
            </w:r>
            <w:r w:rsidRPr="009F291C">
              <w:rPr>
                <w:rFonts w:ascii="Times New Roman" w:hAnsi="Times New Roman" w:cs="Times New Roman"/>
                <w:sz w:val="24"/>
                <w:szCs w:val="24"/>
              </w:rPr>
              <w:t xml:space="preserve">). </w:t>
            </w:r>
          </w:p>
        </w:tc>
      </w:tr>
      <w:tr w:rsidR="00583FCE" w:rsidRPr="009F291C" w14:paraId="66EC84B9"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2160C62E" w14:textId="49C142F5" w:rsidR="00583FCE" w:rsidRPr="009F291C" w:rsidRDefault="00583FCE" w:rsidP="00D230AC">
            <w:pPr>
              <w:tabs>
                <w:tab w:val="left" w:pos="374"/>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 compétence est </w:t>
            </w:r>
            <w:r w:rsidRPr="009F291C">
              <w:rPr>
                <w:rFonts w:ascii="Times New Roman" w:hAnsi="Times New Roman" w:cs="Times New Roman"/>
                <w:b/>
                <w:sz w:val="24"/>
                <w:szCs w:val="24"/>
              </w:rPr>
              <w:t>une action.</w:t>
            </w:r>
            <w:r w:rsidRPr="009F291C">
              <w:rPr>
                <w:rFonts w:ascii="Times New Roman" w:hAnsi="Times New Roman" w:cs="Times New Roman"/>
                <w:sz w:val="24"/>
                <w:szCs w:val="24"/>
              </w:rPr>
              <w:t xml:space="preserve"> Ce n’est pas une qualité de l’action, ni une ressource ou un ensemble de ressources,</w:t>
            </w:r>
            <w:r w:rsidR="008B7BA5">
              <w:rPr>
                <w:rFonts w:ascii="Times New Roman" w:hAnsi="Times New Roman" w:cs="Times New Roman"/>
                <w:sz w:val="24"/>
                <w:szCs w:val="24"/>
              </w:rPr>
              <w:t xml:space="preserve"> ni un savoir ou un ensemble de savoirs,</w:t>
            </w:r>
            <w:r w:rsidRPr="009F291C">
              <w:rPr>
                <w:rFonts w:ascii="Times New Roman" w:hAnsi="Times New Roman" w:cs="Times New Roman"/>
                <w:sz w:val="24"/>
                <w:szCs w:val="24"/>
              </w:rPr>
              <w:t xml:space="preserve"> </w:t>
            </w:r>
            <w:r w:rsidR="008B7BA5">
              <w:rPr>
                <w:rFonts w:ascii="Times New Roman" w:hAnsi="Times New Roman" w:cs="Times New Roman"/>
                <w:sz w:val="24"/>
                <w:szCs w:val="24"/>
              </w:rPr>
              <w:t xml:space="preserve">ni une capacité, </w:t>
            </w:r>
            <w:r w:rsidRPr="009F291C">
              <w:rPr>
                <w:rFonts w:ascii="Times New Roman" w:hAnsi="Times New Roman" w:cs="Times New Roman"/>
                <w:sz w:val="24"/>
                <w:szCs w:val="24"/>
              </w:rPr>
              <w:t xml:space="preserve">ni un potentiel, ni une caractéristique de la personne. </w:t>
            </w:r>
          </w:p>
          <w:p w14:paraId="3D5E54EB" w14:textId="1996A7B4" w:rsidR="00583FCE" w:rsidRPr="009F291C" w:rsidRDefault="00583FCE" w:rsidP="00D6134C">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FB5D6C">
              <w:rPr>
                <w:rFonts w:ascii="Times New Roman" w:hAnsi="Times New Roman" w:cs="Times New Roman"/>
                <w:sz w:val="24"/>
                <w:szCs w:val="24"/>
              </w:rPr>
              <w:t>il faut donc</w:t>
            </w:r>
            <w:r w:rsidRPr="009F291C">
              <w:rPr>
                <w:rFonts w:ascii="Times New Roman" w:hAnsi="Times New Roman" w:cs="Times New Roman"/>
                <w:b/>
                <w:sz w:val="24"/>
                <w:szCs w:val="24"/>
              </w:rPr>
              <w:t xml:space="preserve"> </w:t>
            </w:r>
            <w:r w:rsidRPr="009F291C">
              <w:rPr>
                <w:rFonts w:ascii="Times New Roman" w:hAnsi="Times New Roman" w:cs="Times New Roman"/>
                <w:sz w:val="24"/>
                <w:szCs w:val="24"/>
              </w:rPr>
              <w:t>déterminer les compétences en termes d’action</w:t>
            </w:r>
            <w:r w:rsidR="00B924CF">
              <w:rPr>
                <w:rFonts w:ascii="Times New Roman" w:hAnsi="Times New Roman" w:cs="Times New Roman"/>
                <w:sz w:val="24"/>
                <w:szCs w:val="24"/>
              </w:rPr>
              <w:t>s</w:t>
            </w:r>
            <w:r w:rsidR="008B7BA5">
              <w:rPr>
                <w:rFonts w:ascii="Times New Roman" w:hAnsi="Times New Roman" w:cs="Times New Roman"/>
                <w:sz w:val="24"/>
                <w:szCs w:val="24"/>
              </w:rPr>
              <w:t xml:space="preserve"> concrètes.</w:t>
            </w:r>
            <w:r w:rsidR="00D6134C">
              <w:rPr>
                <w:rFonts w:ascii="Times New Roman" w:hAnsi="Times New Roman" w:cs="Times New Roman"/>
                <w:sz w:val="24"/>
                <w:szCs w:val="24"/>
              </w:rPr>
              <w:t xml:space="preserve"> </w:t>
            </w:r>
            <w:r w:rsidR="00FB5D6C">
              <w:rPr>
                <w:rFonts w:ascii="Times New Roman" w:hAnsi="Times New Roman" w:cs="Times New Roman"/>
                <w:sz w:val="24"/>
                <w:szCs w:val="24"/>
              </w:rPr>
              <w:t xml:space="preserve">Il faut aussi </w:t>
            </w:r>
            <w:r w:rsidRPr="009F291C">
              <w:rPr>
                <w:rFonts w:ascii="Times New Roman" w:hAnsi="Times New Roman" w:cs="Times New Roman"/>
                <w:sz w:val="24"/>
                <w:szCs w:val="24"/>
              </w:rPr>
              <w:t xml:space="preserve">préciser les </w:t>
            </w:r>
            <w:r w:rsidRPr="00FB5D6C">
              <w:rPr>
                <w:rFonts w:ascii="Times New Roman" w:hAnsi="Times New Roman" w:cs="Times New Roman"/>
                <w:b/>
                <w:sz w:val="24"/>
                <w:szCs w:val="24"/>
              </w:rPr>
              <w:t>trajectoires de développement</w:t>
            </w:r>
            <w:r w:rsidRPr="009F291C">
              <w:rPr>
                <w:rFonts w:ascii="Times New Roman" w:hAnsi="Times New Roman" w:cs="Times New Roman"/>
                <w:sz w:val="24"/>
                <w:szCs w:val="24"/>
              </w:rPr>
              <w:t xml:space="preserve"> des compétences, c’est-à-dire décrire la compétence telle qu’on s’attend à ce qu’elle soit développée au terme de la formation </w:t>
            </w:r>
            <w:r w:rsidR="008B7BA5">
              <w:rPr>
                <w:rFonts w:ascii="Times New Roman" w:hAnsi="Times New Roman" w:cs="Times New Roman"/>
                <w:sz w:val="24"/>
                <w:szCs w:val="24"/>
              </w:rPr>
              <w:t xml:space="preserve">(indicateurs observables terminaux) </w:t>
            </w:r>
            <w:r w:rsidRPr="009F291C">
              <w:rPr>
                <w:rFonts w:ascii="Times New Roman" w:hAnsi="Times New Roman" w:cs="Times New Roman"/>
                <w:sz w:val="24"/>
                <w:szCs w:val="24"/>
              </w:rPr>
              <w:t>et déterminer des stades de développement avec des indicateurs observables.</w:t>
            </w:r>
          </w:p>
        </w:tc>
      </w:tr>
      <w:tr w:rsidR="0037602A" w:rsidRPr="009F291C" w14:paraId="60CAEAAE"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76D83DE1" w14:textId="59E46617" w:rsidR="00CB15C3" w:rsidRPr="00CB15C3" w:rsidRDefault="0037602A" w:rsidP="00CB15C3">
            <w:pPr>
              <w:tabs>
                <w:tab w:val="left" w:pos="3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L’action est </w:t>
            </w:r>
            <w:r w:rsidRPr="0037602A">
              <w:rPr>
                <w:rFonts w:ascii="Times New Roman" w:hAnsi="Times New Roman" w:cs="Times New Roman"/>
                <w:b/>
                <w:sz w:val="24"/>
                <w:szCs w:val="24"/>
              </w:rPr>
              <w:t>stable</w:t>
            </w:r>
            <w:r w:rsidR="00CB15C3">
              <w:rPr>
                <w:rFonts w:ascii="Times New Roman" w:hAnsi="Times New Roman" w:cs="Times New Roman"/>
                <w:sz w:val="24"/>
                <w:szCs w:val="24"/>
              </w:rPr>
              <w:t xml:space="preserve">, et non un comportement réalisé une seule fois ni répété mécaniquement. </w:t>
            </w:r>
            <w:r w:rsidR="00CB15C3" w:rsidRPr="00CB15C3">
              <w:rPr>
                <w:rFonts w:ascii="Times New Roman" w:hAnsi="Times New Roman" w:cs="Times New Roman"/>
                <w:b/>
                <w:sz w:val="24"/>
                <w:szCs w:val="24"/>
              </w:rPr>
              <w:t>En APC</w:t>
            </w:r>
            <w:r w:rsidR="00CB15C3">
              <w:rPr>
                <w:rFonts w:ascii="Times New Roman" w:hAnsi="Times New Roman" w:cs="Times New Roman"/>
                <w:sz w:val="24"/>
                <w:szCs w:val="24"/>
              </w:rPr>
              <w:t xml:space="preserve">, il faut faire répéter plusieurs fois l’action-compétence apprise et réussie, jusqu’à la stabilité. </w:t>
            </w:r>
          </w:p>
        </w:tc>
      </w:tr>
      <w:tr w:rsidR="00583FCE" w:rsidRPr="009F291C" w14:paraId="5B4B690B"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1AACA6BE" w14:textId="77777777" w:rsidR="00583FCE" w:rsidRPr="009F291C" w:rsidRDefault="00583FCE" w:rsidP="008727CF">
            <w:pPr>
              <w:tabs>
                <w:tab w:val="left" w:pos="364"/>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L’action </w:t>
            </w:r>
            <w:r w:rsidRPr="00FB5D6C">
              <w:rPr>
                <w:rFonts w:ascii="Times New Roman" w:hAnsi="Times New Roman" w:cs="Times New Roman"/>
                <w:sz w:val="24"/>
                <w:szCs w:val="24"/>
              </w:rPr>
              <w:t xml:space="preserve">est </w:t>
            </w:r>
            <w:r w:rsidRPr="00FB5D6C">
              <w:rPr>
                <w:rFonts w:ascii="Times New Roman" w:hAnsi="Times New Roman" w:cs="Times New Roman"/>
                <w:b/>
                <w:bCs/>
                <w:sz w:val="24"/>
                <w:szCs w:val="24"/>
              </w:rPr>
              <w:t>réflexive</w:t>
            </w:r>
            <w:r w:rsidRPr="00FB5D6C">
              <w:rPr>
                <w:rFonts w:ascii="Times New Roman" w:hAnsi="Times New Roman" w:cs="Times New Roman"/>
                <w:sz w:val="24"/>
                <w:szCs w:val="24"/>
              </w:rPr>
              <w:t>.</w:t>
            </w:r>
            <w:r w:rsidR="008727CF">
              <w:rPr>
                <w:rFonts w:ascii="Times New Roman" w:hAnsi="Times New Roman" w:cs="Times New Roman"/>
                <w:sz w:val="24"/>
                <w:szCs w:val="24"/>
              </w:rPr>
              <w:t xml:space="preserve">    </w:t>
            </w:r>
            <w:r w:rsidRPr="009F291C">
              <w:rPr>
                <w:rFonts w:ascii="Times New Roman" w:hAnsi="Times New Roman" w:cs="Times New Roman"/>
                <w:sz w:val="24"/>
                <w:szCs w:val="24"/>
              </w:rPr>
              <w:t xml:space="preserve">La pratique réflexive (au sens de </w:t>
            </w:r>
            <w:proofErr w:type="spellStart"/>
            <w:r w:rsidRPr="009F291C">
              <w:rPr>
                <w:rFonts w:ascii="Times New Roman" w:hAnsi="Times New Roman" w:cs="Times New Roman"/>
                <w:sz w:val="24"/>
                <w:szCs w:val="24"/>
              </w:rPr>
              <w:t>Schön</w:t>
            </w:r>
            <w:proofErr w:type="spellEnd"/>
            <w:r w:rsidR="008727CF">
              <w:rPr>
                <w:rFonts w:ascii="Times New Roman" w:hAnsi="Times New Roman" w:cs="Times New Roman"/>
                <w:sz w:val="24"/>
                <w:szCs w:val="24"/>
              </w:rPr>
              <w:t>, 1994</w:t>
            </w:r>
            <w:r w:rsidRPr="009F291C">
              <w:rPr>
                <w:rFonts w:ascii="Times New Roman" w:hAnsi="Times New Roman" w:cs="Times New Roman"/>
                <w:sz w:val="24"/>
                <w:szCs w:val="24"/>
              </w:rPr>
              <w:t>) est essentielle au développement des compétences professionnelles parce que l’action doit être accompagnée d’une réflexion dans l’action, sur l’action et pour l’action.</w:t>
            </w:r>
          </w:p>
          <w:p w14:paraId="6C859253" w14:textId="77777777" w:rsidR="00583FCE" w:rsidRPr="009F291C" w:rsidRDefault="00583FCE" w:rsidP="00871272">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8727CF">
              <w:rPr>
                <w:rFonts w:ascii="Times New Roman" w:hAnsi="Times New Roman" w:cs="Times New Roman"/>
                <w:sz w:val="24"/>
                <w:szCs w:val="24"/>
              </w:rPr>
              <w:t>il faut donc</w:t>
            </w:r>
            <w:r w:rsidRPr="009F291C">
              <w:rPr>
                <w:rFonts w:ascii="Times New Roman" w:hAnsi="Times New Roman" w:cs="Times New Roman"/>
                <w:sz w:val="24"/>
                <w:szCs w:val="24"/>
              </w:rPr>
              <w:t xml:space="preserve"> planifier des activités de fo</w:t>
            </w:r>
            <w:r w:rsidR="008727CF">
              <w:rPr>
                <w:rFonts w:ascii="Times New Roman" w:hAnsi="Times New Roman" w:cs="Times New Roman"/>
                <w:sz w:val="24"/>
                <w:szCs w:val="24"/>
              </w:rPr>
              <w:t>rmation à la pratique réflexive et des activités de prise de conscience de la réflexion im</w:t>
            </w:r>
            <w:r w:rsidR="00871272">
              <w:rPr>
                <w:rFonts w:ascii="Times New Roman" w:hAnsi="Times New Roman" w:cs="Times New Roman"/>
                <w:sz w:val="24"/>
                <w:szCs w:val="24"/>
              </w:rPr>
              <w:t>briquée</w:t>
            </w:r>
            <w:r w:rsidR="008727CF">
              <w:rPr>
                <w:rFonts w:ascii="Times New Roman" w:hAnsi="Times New Roman" w:cs="Times New Roman"/>
                <w:sz w:val="24"/>
                <w:szCs w:val="24"/>
              </w:rPr>
              <w:t xml:space="preserve"> dans </w:t>
            </w:r>
            <w:r w:rsidR="00336512">
              <w:rPr>
                <w:rFonts w:ascii="Times New Roman" w:hAnsi="Times New Roman" w:cs="Times New Roman"/>
                <w:sz w:val="24"/>
                <w:szCs w:val="24"/>
              </w:rPr>
              <w:t>la compétence.</w:t>
            </w:r>
          </w:p>
        </w:tc>
      </w:tr>
      <w:tr w:rsidR="00583FCE" w:rsidRPr="009F291C" w14:paraId="0CF1397F"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7709C49A" w14:textId="77777777" w:rsidR="00583FCE" w:rsidRPr="009F291C" w:rsidRDefault="00583FCE" w:rsidP="00D230AC">
            <w:pPr>
              <w:tabs>
                <w:tab w:val="left" w:pos="364"/>
              </w:tabs>
              <w:spacing w:after="0" w:line="240" w:lineRule="auto"/>
              <w:jc w:val="both"/>
              <w:rPr>
                <w:rFonts w:ascii="Times New Roman" w:hAnsi="Times New Roman" w:cs="Times New Roman"/>
                <w:b/>
                <w:sz w:val="24"/>
                <w:szCs w:val="24"/>
              </w:rPr>
            </w:pPr>
            <w:r w:rsidRPr="009F291C">
              <w:rPr>
                <w:rFonts w:ascii="Times New Roman" w:hAnsi="Times New Roman" w:cs="Times New Roman"/>
                <w:sz w:val="24"/>
                <w:szCs w:val="24"/>
              </w:rPr>
              <w:t xml:space="preserve">La compétence est une </w:t>
            </w:r>
            <w:r w:rsidRPr="009F291C">
              <w:rPr>
                <w:rFonts w:ascii="Times New Roman" w:hAnsi="Times New Roman" w:cs="Times New Roman"/>
                <w:b/>
                <w:sz w:val="24"/>
                <w:szCs w:val="24"/>
              </w:rPr>
              <w:t>mobilisation de ressources.</w:t>
            </w:r>
          </w:p>
          <w:p w14:paraId="4CC84094" w14:textId="77777777" w:rsidR="00583FCE" w:rsidRPr="009F291C" w:rsidRDefault="00583FCE" w:rsidP="004C562F">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La mobilisation inclut une sélection parmi les ressources et une combinaison des ressources sélectionnées. Ces ressources sont</w:t>
            </w:r>
            <w:r w:rsidR="004C562F">
              <w:rPr>
                <w:rFonts w:ascii="Times New Roman" w:hAnsi="Times New Roman" w:cs="Times New Roman"/>
                <w:sz w:val="24"/>
                <w:szCs w:val="24"/>
              </w:rPr>
              <w:t xml:space="preserve"> </w:t>
            </w:r>
            <w:r w:rsidRPr="00523607">
              <w:rPr>
                <w:rFonts w:ascii="Times New Roman" w:hAnsi="Times New Roman" w:cs="Times New Roman"/>
                <w:b/>
                <w:sz w:val="24"/>
                <w:szCs w:val="24"/>
              </w:rPr>
              <w:t xml:space="preserve">internes ou </w:t>
            </w:r>
            <w:r w:rsidR="004C562F" w:rsidRPr="00523607">
              <w:rPr>
                <w:rFonts w:ascii="Times New Roman" w:hAnsi="Times New Roman" w:cs="Times New Roman"/>
                <w:b/>
                <w:sz w:val="24"/>
                <w:szCs w:val="24"/>
              </w:rPr>
              <w:t>externes</w:t>
            </w:r>
            <w:r w:rsidR="004C562F">
              <w:rPr>
                <w:rFonts w:ascii="Times New Roman" w:hAnsi="Times New Roman" w:cs="Times New Roman"/>
                <w:sz w:val="24"/>
                <w:szCs w:val="24"/>
              </w:rPr>
              <w:t xml:space="preserve">. Les ressources internes sont </w:t>
            </w:r>
            <w:r w:rsidRPr="009F291C">
              <w:rPr>
                <w:rFonts w:ascii="Times New Roman" w:hAnsi="Times New Roman" w:cs="Times New Roman"/>
                <w:sz w:val="24"/>
                <w:szCs w:val="24"/>
              </w:rPr>
              <w:t xml:space="preserve">personnelles (connaissances et habiletés) </w:t>
            </w:r>
            <w:r w:rsidR="004C562F">
              <w:rPr>
                <w:rFonts w:ascii="Times New Roman" w:hAnsi="Times New Roman" w:cs="Times New Roman"/>
                <w:sz w:val="24"/>
                <w:szCs w:val="24"/>
              </w:rPr>
              <w:t xml:space="preserve">et </w:t>
            </w:r>
            <w:r w:rsidRPr="009F291C">
              <w:rPr>
                <w:rFonts w:ascii="Times New Roman" w:hAnsi="Times New Roman" w:cs="Times New Roman"/>
                <w:sz w:val="24"/>
                <w:szCs w:val="24"/>
              </w:rPr>
              <w:t xml:space="preserve">sont </w:t>
            </w:r>
            <w:r w:rsidR="00A042FD">
              <w:rPr>
                <w:rFonts w:ascii="Times New Roman" w:hAnsi="Times New Roman" w:cs="Times New Roman"/>
                <w:sz w:val="24"/>
                <w:szCs w:val="24"/>
              </w:rPr>
              <w:t>structurées en réseaux</w:t>
            </w:r>
            <w:r w:rsidRPr="009F291C">
              <w:rPr>
                <w:rFonts w:ascii="Times New Roman" w:hAnsi="Times New Roman" w:cs="Times New Roman"/>
                <w:sz w:val="24"/>
                <w:szCs w:val="24"/>
              </w:rPr>
              <w:t xml:space="preserve"> ou en « architecture »</w:t>
            </w:r>
            <w:r w:rsidR="004C562F">
              <w:rPr>
                <w:rFonts w:ascii="Times New Roman" w:hAnsi="Times New Roman" w:cs="Times New Roman"/>
                <w:sz w:val="24"/>
                <w:szCs w:val="24"/>
              </w:rPr>
              <w:t xml:space="preserve">. Les ressources externes sont dans </w:t>
            </w:r>
            <w:r w:rsidRPr="009F291C">
              <w:rPr>
                <w:rFonts w:ascii="Times New Roman" w:hAnsi="Times New Roman" w:cs="Times New Roman"/>
                <w:sz w:val="24"/>
                <w:szCs w:val="24"/>
              </w:rPr>
              <w:t xml:space="preserve">l’environnement </w:t>
            </w:r>
            <w:r w:rsidR="004C562F">
              <w:rPr>
                <w:rFonts w:ascii="Times New Roman" w:hAnsi="Times New Roman" w:cs="Times New Roman"/>
                <w:sz w:val="24"/>
                <w:szCs w:val="24"/>
              </w:rPr>
              <w:t xml:space="preserve">et </w:t>
            </w:r>
            <w:r w:rsidRPr="009F291C">
              <w:rPr>
                <w:rFonts w:ascii="Times New Roman" w:hAnsi="Times New Roman" w:cs="Times New Roman"/>
                <w:sz w:val="24"/>
                <w:szCs w:val="24"/>
              </w:rPr>
              <w:t>sont disponibles</w:t>
            </w:r>
            <w:r w:rsidR="004C562F">
              <w:rPr>
                <w:rFonts w:ascii="Times New Roman" w:hAnsi="Times New Roman" w:cs="Times New Roman"/>
                <w:sz w:val="24"/>
                <w:szCs w:val="24"/>
              </w:rPr>
              <w:t xml:space="preserve"> pour la compétence</w:t>
            </w:r>
            <w:r w:rsidR="008B7BA5">
              <w:rPr>
                <w:rFonts w:ascii="Times New Roman" w:hAnsi="Times New Roman" w:cs="Times New Roman"/>
                <w:sz w:val="24"/>
                <w:szCs w:val="24"/>
              </w:rPr>
              <w:t>, pour l’action</w:t>
            </w:r>
            <w:r w:rsidR="004C562F">
              <w:rPr>
                <w:rFonts w:ascii="Times New Roman" w:hAnsi="Times New Roman" w:cs="Times New Roman"/>
                <w:sz w:val="24"/>
                <w:szCs w:val="24"/>
              </w:rPr>
              <w:t xml:space="preserve">. </w:t>
            </w:r>
          </w:p>
          <w:p w14:paraId="396258B0" w14:textId="77777777" w:rsidR="00583FCE" w:rsidRPr="009F291C" w:rsidRDefault="00583FCE" w:rsidP="00A042FD">
            <w:pPr>
              <w:tabs>
                <w:tab w:val="left" w:pos="0"/>
              </w:tabs>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4C562F">
              <w:rPr>
                <w:rFonts w:ascii="Times New Roman" w:hAnsi="Times New Roman" w:cs="Times New Roman"/>
                <w:sz w:val="24"/>
                <w:szCs w:val="24"/>
              </w:rPr>
              <w:t>il faut donc</w:t>
            </w:r>
            <w:r w:rsidRPr="009F291C">
              <w:rPr>
                <w:rFonts w:ascii="Times New Roman" w:hAnsi="Times New Roman" w:cs="Times New Roman"/>
                <w:b/>
                <w:sz w:val="24"/>
                <w:szCs w:val="24"/>
              </w:rPr>
              <w:t xml:space="preserve"> </w:t>
            </w:r>
            <w:r w:rsidRPr="009F291C">
              <w:rPr>
                <w:rFonts w:ascii="Times New Roman" w:hAnsi="Times New Roman" w:cs="Times New Roman"/>
                <w:sz w:val="24"/>
                <w:szCs w:val="24"/>
              </w:rPr>
              <w:t>identifier les ressources internes et externes à mobiliser dans chacune des compétences</w:t>
            </w:r>
            <w:r w:rsidR="00A042FD">
              <w:rPr>
                <w:rFonts w:ascii="Times New Roman" w:hAnsi="Times New Roman" w:cs="Times New Roman"/>
                <w:sz w:val="24"/>
                <w:szCs w:val="24"/>
              </w:rPr>
              <w:t xml:space="preserve">, de même que </w:t>
            </w:r>
            <w:r w:rsidRPr="009F291C">
              <w:rPr>
                <w:rFonts w:ascii="Times New Roman" w:hAnsi="Times New Roman" w:cs="Times New Roman"/>
                <w:sz w:val="24"/>
                <w:szCs w:val="24"/>
              </w:rPr>
              <w:t xml:space="preserve">planifier </w:t>
            </w:r>
            <w:r w:rsidR="008B7BA5">
              <w:rPr>
                <w:rFonts w:ascii="Times New Roman" w:hAnsi="Times New Roman" w:cs="Times New Roman"/>
                <w:sz w:val="24"/>
                <w:szCs w:val="24"/>
              </w:rPr>
              <w:t xml:space="preserve">la mobilisation </w:t>
            </w:r>
            <w:r w:rsidRPr="009F291C">
              <w:rPr>
                <w:rFonts w:ascii="Times New Roman" w:hAnsi="Times New Roman" w:cs="Times New Roman"/>
                <w:sz w:val="24"/>
                <w:szCs w:val="24"/>
              </w:rPr>
              <w:t xml:space="preserve">des ressources internes </w:t>
            </w:r>
            <w:r w:rsidR="008B7BA5">
              <w:rPr>
                <w:rFonts w:ascii="Times New Roman" w:hAnsi="Times New Roman" w:cs="Times New Roman"/>
                <w:sz w:val="24"/>
                <w:szCs w:val="24"/>
              </w:rPr>
              <w:t>(connaissances et habiletés)</w:t>
            </w:r>
            <w:r w:rsidR="00A042FD">
              <w:rPr>
                <w:rFonts w:ascii="Times New Roman" w:hAnsi="Times New Roman" w:cs="Times New Roman"/>
                <w:sz w:val="24"/>
                <w:szCs w:val="24"/>
              </w:rPr>
              <w:t xml:space="preserve"> dans les apprentissages. Il faut assurer</w:t>
            </w:r>
            <w:r w:rsidRPr="009F291C">
              <w:rPr>
                <w:rFonts w:ascii="Times New Roman" w:hAnsi="Times New Roman" w:cs="Times New Roman"/>
                <w:sz w:val="24"/>
                <w:szCs w:val="24"/>
              </w:rPr>
              <w:t xml:space="preserve"> la disponibilité des ressources externes.</w:t>
            </w:r>
          </w:p>
        </w:tc>
      </w:tr>
      <w:tr w:rsidR="00583FCE" w:rsidRPr="009F291C" w14:paraId="347FF15F" w14:textId="77777777" w:rsidTr="00FB5D6C">
        <w:trPr>
          <w:jc w:val="center"/>
        </w:trPr>
        <w:tc>
          <w:tcPr>
            <w:tcW w:w="9919" w:type="dxa"/>
            <w:tcBorders>
              <w:top w:val="single" w:sz="4" w:space="0" w:color="auto"/>
              <w:left w:val="single" w:sz="4" w:space="0" w:color="auto"/>
              <w:bottom w:val="single" w:sz="4" w:space="0" w:color="auto"/>
              <w:right w:val="single" w:sz="4" w:space="0" w:color="auto"/>
            </w:tcBorders>
          </w:tcPr>
          <w:p w14:paraId="1D3783A6" w14:textId="77777777" w:rsidR="00583FCE" w:rsidRPr="009F291C" w:rsidRDefault="00583FCE" w:rsidP="00523607">
            <w:pPr>
              <w:tabs>
                <w:tab w:val="left" w:pos="364"/>
              </w:tabs>
              <w:spacing w:after="0" w:line="240" w:lineRule="auto"/>
              <w:jc w:val="both"/>
              <w:rPr>
                <w:rFonts w:ascii="Times New Roman" w:hAnsi="Times New Roman" w:cs="Times New Roman"/>
                <w:sz w:val="24"/>
                <w:szCs w:val="24"/>
              </w:rPr>
            </w:pPr>
            <w:r w:rsidRPr="009F291C">
              <w:rPr>
                <w:rFonts w:ascii="Times New Roman" w:hAnsi="Times New Roman" w:cs="Times New Roman"/>
                <w:sz w:val="24"/>
                <w:szCs w:val="24"/>
              </w:rPr>
              <w:t xml:space="preserve">La compétence est une action </w:t>
            </w:r>
            <w:r w:rsidRPr="009F291C">
              <w:rPr>
                <w:rFonts w:ascii="Times New Roman" w:hAnsi="Times New Roman" w:cs="Times New Roman"/>
                <w:b/>
                <w:sz w:val="24"/>
                <w:szCs w:val="24"/>
              </w:rPr>
              <w:t>en situation</w:t>
            </w:r>
            <w:r w:rsidRPr="009F291C">
              <w:rPr>
                <w:rFonts w:ascii="Times New Roman" w:hAnsi="Times New Roman" w:cs="Times New Roman"/>
                <w:sz w:val="24"/>
                <w:szCs w:val="24"/>
              </w:rPr>
              <w:t xml:space="preserve">. </w:t>
            </w:r>
            <w:r w:rsidR="00523607">
              <w:rPr>
                <w:rFonts w:ascii="Times New Roman" w:hAnsi="Times New Roman" w:cs="Times New Roman"/>
                <w:sz w:val="24"/>
                <w:szCs w:val="24"/>
              </w:rPr>
              <w:t xml:space="preserve">      </w:t>
            </w:r>
            <w:r w:rsidRPr="009F291C">
              <w:rPr>
                <w:rFonts w:ascii="Times New Roman" w:hAnsi="Times New Roman" w:cs="Times New Roman"/>
                <w:sz w:val="24"/>
                <w:szCs w:val="24"/>
              </w:rPr>
              <w:t>La mobilisation des ressources se fait de manière adaptée au contexte d’une situation spécifique ou d’une famille de situations.</w:t>
            </w:r>
          </w:p>
          <w:p w14:paraId="75C227DB" w14:textId="77777777" w:rsidR="00583FCE" w:rsidRPr="009F291C" w:rsidRDefault="00583FCE" w:rsidP="002D4B55">
            <w:pPr>
              <w:spacing w:after="0" w:line="240" w:lineRule="auto"/>
              <w:jc w:val="both"/>
              <w:rPr>
                <w:rFonts w:ascii="Times New Roman" w:hAnsi="Times New Roman" w:cs="Times New Roman"/>
                <w:sz w:val="24"/>
                <w:szCs w:val="24"/>
              </w:rPr>
            </w:pPr>
            <w:r w:rsidRPr="009F291C">
              <w:rPr>
                <w:rFonts w:ascii="Times New Roman" w:hAnsi="Times New Roman" w:cs="Times New Roman"/>
                <w:b/>
                <w:sz w:val="24"/>
                <w:szCs w:val="24"/>
              </w:rPr>
              <w:t xml:space="preserve">En APC, </w:t>
            </w:r>
            <w:r w:rsidRPr="00523607">
              <w:rPr>
                <w:rFonts w:ascii="Times New Roman" w:hAnsi="Times New Roman" w:cs="Times New Roman"/>
                <w:sz w:val="24"/>
                <w:szCs w:val="24"/>
              </w:rPr>
              <w:t>il faut donc</w:t>
            </w:r>
            <w:r w:rsidRPr="009F291C">
              <w:rPr>
                <w:rFonts w:ascii="Times New Roman" w:hAnsi="Times New Roman" w:cs="Times New Roman"/>
                <w:b/>
                <w:sz w:val="24"/>
                <w:szCs w:val="24"/>
              </w:rPr>
              <w:t xml:space="preserve"> </w:t>
            </w:r>
            <w:r w:rsidRPr="009F291C">
              <w:rPr>
                <w:rFonts w:ascii="Times New Roman" w:hAnsi="Times New Roman" w:cs="Times New Roman"/>
                <w:sz w:val="24"/>
                <w:szCs w:val="24"/>
              </w:rPr>
              <w:t xml:space="preserve">préciser les situations (ou familles de situations) dans lesquelles les compétences se déploient : situations de laboratoire, de stages, </w:t>
            </w:r>
            <w:r w:rsidR="002D4B55">
              <w:rPr>
                <w:rFonts w:ascii="Times New Roman" w:hAnsi="Times New Roman" w:cs="Times New Roman"/>
                <w:sz w:val="24"/>
                <w:szCs w:val="24"/>
              </w:rPr>
              <w:t xml:space="preserve">de simulation, </w:t>
            </w:r>
            <w:r w:rsidRPr="009F291C">
              <w:rPr>
                <w:rFonts w:ascii="Times New Roman" w:hAnsi="Times New Roman" w:cs="Times New Roman"/>
                <w:sz w:val="24"/>
                <w:szCs w:val="24"/>
              </w:rPr>
              <w:t xml:space="preserve">etc. </w:t>
            </w:r>
            <w:r w:rsidR="002D4B55">
              <w:rPr>
                <w:rFonts w:ascii="Times New Roman" w:hAnsi="Times New Roman" w:cs="Times New Roman"/>
                <w:sz w:val="24"/>
                <w:szCs w:val="24"/>
              </w:rPr>
              <w:t>I</w:t>
            </w:r>
            <w:r w:rsidRPr="009F291C">
              <w:rPr>
                <w:rFonts w:ascii="Times New Roman" w:hAnsi="Times New Roman" w:cs="Times New Roman"/>
                <w:sz w:val="24"/>
                <w:szCs w:val="24"/>
              </w:rPr>
              <w:t xml:space="preserve">l faut </w:t>
            </w:r>
            <w:r w:rsidR="002D4B55">
              <w:rPr>
                <w:rFonts w:ascii="Times New Roman" w:hAnsi="Times New Roman" w:cs="Times New Roman"/>
                <w:sz w:val="24"/>
                <w:szCs w:val="24"/>
              </w:rPr>
              <w:t xml:space="preserve">aussi </w:t>
            </w:r>
            <w:r w:rsidRPr="009F291C">
              <w:rPr>
                <w:rFonts w:ascii="Times New Roman" w:hAnsi="Times New Roman" w:cs="Times New Roman"/>
                <w:sz w:val="24"/>
                <w:szCs w:val="24"/>
              </w:rPr>
              <w:t xml:space="preserve">planifier les activités </w:t>
            </w:r>
            <w:r w:rsidR="002D4B55">
              <w:rPr>
                <w:rFonts w:ascii="Times New Roman" w:hAnsi="Times New Roman" w:cs="Times New Roman"/>
                <w:sz w:val="24"/>
                <w:szCs w:val="24"/>
              </w:rPr>
              <w:t>p</w:t>
            </w:r>
            <w:r w:rsidRPr="009F291C">
              <w:rPr>
                <w:rFonts w:ascii="Times New Roman" w:hAnsi="Times New Roman" w:cs="Times New Roman"/>
                <w:sz w:val="24"/>
                <w:szCs w:val="24"/>
              </w:rPr>
              <w:t>our favoriser l’intégration et la coordination pertinente des ressources.</w:t>
            </w:r>
          </w:p>
        </w:tc>
      </w:tr>
    </w:tbl>
    <w:p w14:paraId="3AC69A95" w14:textId="77777777" w:rsidR="00D6134C" w:rsidRDefault="00D6134C" w:rsidP="004D4C91">
      <w:pPr>
        <w:spacing w:after="0" w:line="240" w:lineRule="auto"/>
        <w:rPr>
          <w:rFonts w:ascii="Times New Roman" w:hAnsi="Times New Roman" w:cs="Times New Roman"/>
        </w:rPr>
      </w:pPr>
    </w:p>
    <w:p w14:paraId="5AFD8220" w14:textId="77777777" w:rsidR="00D6134C" w:rsidRDefault="00D6134C" w:rsidP="004D4C91">
      <w:pPr>
        <w:spacing w:after="0" w:line="240" w:lineRule="auto"/>
        <w:rPr>
          <w:rFonts w:ascii="Times New Roman" w:hAnsi="Times New Roman" w:cs="Times New Roman"/>
        </w:rPr>
      </w:pPr>
    </w:p>
    <w:p w14:paraId="2B88762C" w14:textId="77777777" w:rsidR="00D6134C" w:rsidRDefault="00D6134C">
      <w:pPr>
        <w:spacing w:after="160" w:line="259" w:lineRule="auto"/>
        <w:rPr>
          <w:rFonts w:ascii="Times New Roman" w:hAnsi="Times New Roman" w:cs="Times New Roman"/>
        </w:rPr>
      </w:pPr>
      <w:r>
        <w:rPr>
          <w:rFonts w:ascii="Times New Roman" w:hAnsi="Times New Roman" w:cs="Times New Roman"/>
        </w:rPr>
        <w:br w:type="page"/>
      </w:r>
    </w:p>
    <w:p w14:paraId="769EF977" w14:textId="2D2A5093" w:rsidR="00523607" w:rsidRPr="00CF469A" w:rsidRDefault="00523607" w:rsidP="004D4C91">
      <w:pPr>
        <w:spacing w:after="0" w:line="240" w:lineRule="auto"/>
        <w:rPr>
          <w:rFonts w:ascii="Times New Roman" w:hAnsi="Times New Roman" w:cs="Times New Roman"/>
          <w:b/>
          <w:sz w:val="24"/>
          <w:szCs w:val="24"/>
        </w:rPr>
      </w:pPr>
      <w:r w:rsidRPr="00CF469A">
        <w:rPr>
          <w:rFonts w:ascii="Times New Roman" w:hAnsi="Times New Roman" w:cs="Times New Roman"/>
          <w:b/>
          <w:sz w:val="24"/>
          <w:szCs w:val="24"/>
        </w:rPr>
        <w:lastRenderedPageBreak/>
        <w:t>Références</w:t>
      </w:r>
      <w:r w:rsidR="002633AF" w:rsidRPr="00CF469A">
        <w:rPr>
          <w:rFonts w:ascii="Times New Roman" w:hAnsi="Times New Roman" w:cs="Times New Roman"/>
          <w:b/>
          <w:sz w:val="24"/>
          <w:szCs w:val="24"/>
        </w:rPr>
        <w:t xml:space="preserve"> : </w:t>
      </w:r>
    </w:p>
    <w:p w14:paraId="4B61E208" w14:textId="05292374" w:rsidR="00D6134C" w:rsidRPr="00CF469A" w:rsidRDefault="00D6134C" w:rsidP="004D4C91">
      <w:pPr>
        <w:spacing w:after="0" w:line="240" w:lineRule="auto"/>
        <w:rPr>
          <w:rFonts w:ascii="Times New Roman" w:hAnsi="Times New Roman" w:cs="Times New Roman"/>
          <w:sz w:val="24"/>
          <w:szCs w:val="24"/>
        </w:rPr>
      </w:pPr>
    </w:p>
    <w:p w14:paraId="1641C4C0" w14:textId="5C489D44" w:rsidR="00D6134C" w:rsidRPr="00CF469A" w:rsidRDefault="00D6134C"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Guillemette, F. (2021). L’approche par compétences dans la programmation pédagogique. </w:t>
      </w:r>
      <w:r w:rsidRPr="00CF469A">
        <w:rPr>
          <w:rFonts w:ascii="Times New Roman" w:hAnsi="Times New Roman" w:cs="Times New Roman"/>
          <w:i/>
          <w:sz w:val="24"/>
          <w:szCs w:val="24"/>
        </w:rPr>
        <w:t>Enjeux et société</w:t>
      </w:r>
      <w:r w:rsidRPr="00CF469A">
        <w:rPr>
          <w:rFonts w:ascii="Times New Roman" w:hAnsi="Times New Roman" w:cs="Times New Roman"/>
          <w:sz w:val="24"/>
          <w:szCs w:val="24"/>
        </w:rPr>
        <w:t xml:space="preserve">, </w:t>
      </w:r>
      <w:r w:rsidRPr="00CF469A">
        <w:rPr>
          <w:rFonts w:ascii="Times New Roman" w:hAnsi="Times New Roman" w:cs="Times New Roman"/>
          <w:i/>
          <w:sz w:val="24"/>
          <w:szCs w:val="24"/>
        </w:rPr>
        <w:t>8</w:t>
      </w:r>
      <w:r w:rsidRPr="00CF469A">
        <w:rPr>
          <w:rFonts w:ascii="Times New Roman" w:hAnsi="Times New Roman" w:cs="Times New Roman"/>
          <w:sz w:val="24"/>
          <w:szCs w:val="24"/>
        </w:rPr>
        <w:t>(2), 140–169. https://doi.org/10.7202/1078492ar</w:t>
      </w:r>
    </w:p>
    <w:p w14:paraId="01C711FE" w14:textId="77777777" w:rsidR="00D6134C" w:rsidRPr="00CF469A" w:rsidRDefault="00D6134C" w:rsidP="004D4C91">
      <w:pPr>
        <w:spacing w:after="0" w:line="240" w:lineRule="auto"/>
        <w:rPr>
          <w:rFonts w:ascii="Times New Roman" w:hAnsi="Times New Roman" w:cs="Times New Roman"/>
          <w:sz w:val="24"/>
          <w:szCs w:val="24"/>
        </w:rPr>
      </w:pPr>
    </w:p>
    <w:p w14:paraId="4BD54E7A" w14:textId="0F552127" w:rsidR="008773F8" w:rsidRPr="00CF469A" w:rsidRDefault="004D4C91" w:rsidP="004D4C91">
      <w:pPr>
        <w:spacing w:after="0" w:line="240" w:lineRule="auto"/>
        <w:rPr>
          <w:rStyle w:val="Lienhypertexte"/>
          <w:rFonts w:ascii="Times New Roman" w:hAnsi="Times New Roman" w:cs="Times New Roman"/>
          <w:sz w:val="24"/>
          <w:szCs w:val="24"/>
        </w:rPr>
      </w:pPr>
      <w:r w:rsidRPr="00CF469A">
        <w:rPr>
          <w:rFonts w:ascii="Times New Roman" w:hAnsi="Times New Roman" w:cs="Times New Roman"/>
          <w:sz w:val="24"/>
          <w:szCs w:val="24"/>
        </w:rPr>
        <w:t xml:space="preserve">- </w:t>
      </w:r>
      <w:r w:rsidR="008773F8" w:rsidRPr="00CF469A">
        <w:rPr>
          <w:rFonts w:ascii="Times New Roman" w:hAnsi="Times New Roman" w:cs="Times New Roman"/>
          <w:sz w:val="24"/>
          <w:szCs w:val="24"/>
        </w:rPr>
        <w:t xml:space="preserve">Guillemette, F., &amp; Gauthier, C. (2006). L’approche par compétences (APC) en formation des maîtres: analyse documentaire et critique. </w:t>
      </w:r>
      <w:r w:rsidR="008773F8" w:rsidRPr="00CF469A">
        <w:rPr>
          <w:rFonts w:ascii="Times New Roman" w:hAnsi="Times New Roman" w:cs="Times New Roman"/>
          <w:i/>
          <w:sz w:val="24"/>
          <w:szCs w:val="24"/>
        </w:rPr>
        <w:t>Éduquer (Cahiers Binet-Simon)</w:t>
      </w:r>
      <w:r w:rsidR="008773F8" w:rsidRPr="00CF469A">
        <w:rPr>
          <w:rFonts w:ascii="Times New Roman" w:hAnsi="Times New Roman" w:cs="Times New Roman"/>
          <w:sz w:val="24"/>
          <w:szCs w:val="24"/>
        </w:rPr>
        <w:t xml:space="preserve">, (11), 137-179. Accessible en ligne: </w:t>
      </w:r>
      <w:hyperlink r:id="rId14" w:history="1">
        <w:r w:rsidR="008854D7" w:rsidRPr="00CF469A">
          <w:rPr>
            <w:rStyle w:val="Lienhypertexte"/>
            <w:rFonts w:ascii="Times New Roman" w:hAnsi="Times New Roman" w:cs="Times New Roman"/>
            <w:sz w:val="24"/>
            <w:szCs w:val="24"/>
          </w:rPr>
          <w:t>http://rechercheseducations.revues.org/index84.html</w:t>
        </w:r>
      </w:hyperlink>
    </w:p>
    <w:p w14:paraId="4FE589EB" w14:textId="77777777" w:rsidR="00D6134C" w:rsidRPr="00CF469A" w:rsidRDefault="00D6134C" w:rsidP="004D4C91">
      <w:pPr>
        <w:spacing w:after="0" w:line="240" w:lineRule="auto"/>
        <w:rPr>
          <w:rFonts w:ascii="Times New Roman" w:hAnsi="Times New Roman" w:cs="Times New Roman"/>
          <w:sz w:val="24"/>
          <w:szCs w:val="24"/>
        </w:rPr>
      </w:pPr>
    </w:p>
    <w:p w14:paraId="51308F16" w14:textId="33E8D16A" w:rsidR="008854D7" w:rsidRPr="00CF469A" w:rsidRDefault="00996DD4"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r w:rsidR="008854D7" w:rsidRPr="00CF469A">
        <w:rPr>
          <w:rFonts w:ascii="Times New Roman" w:hAnsi="Times New Roman" w:cs="Times New Roman"/>
          <w:sz w:val="24"/>
          <w:szCs w:val="24"/>
        </w:rPr>
        <w:t xml:space="preserve">Le Boterf, G. (2001). </w:t>
      </w:r>
      <w:r w:rsidR="008854D7" w:rsidRPr="00CF469A">
        <w:rPr>
          <w:rFonts w:ascii="Times New Roman" w:hAnsi="Times New Roman" w:cs="Times New Roman"/>
          <w:i/>
          <w:sz w:val="24"/>
          <w:szCs w:val="24"/>
        </w:rPr>
        <w:t>Construire les compétences individuelles et collectives</w:t>
      </w:r>
      <w:r w:rsidR="008854D7" w:rsidRPr="00CF469A">
        <w:rPr>
          <w:rFonts w:ascii="Times New Roman" w:hAnsi="Times New Roman" w:cs="Times New Roman"/>
          <w:sz w:val="24"/>
          <w:szCs w:val="24"/>
        </w:rPr>
        <w:t>. Paris</w:t>
      </w:r>
      <w:r w:rsidR="002D4B55" w:rsidRPr="00CF469A">
        <w:rPr>
          <w:rFonts w:ascii="Times New Roman" w:hAnsi="Times New Roman" w:cs="Times New Roman"/>
          <w:sz w:val="24"/>
          <w:szCs w:val="24"/>
        </w:rPr>
        <w:t> :</w:t>
      </w:r>
      <w:r w:rsidR="008854D7" w:rsidRPr="00CF469A">
        <w:rPr>
          <w:rFonts w:ascii="Times New Roman" w:hAnsi="Times New Roman" w:cs="Times New Roman"/>
          <w:sz w:val="24"/>
          <w:szCs w:val="24"/>
        </w:rPr>
        <w:t xml:space="preserve"> Éditions d'Organisation</w:t>
      </w:r>
      <w:r w:rsidR="002D4B55" w:rsidRPr="00CF469A">
        <w:rPr>
          <w:rFonts w:ascii="Times New Roman" w:hAnsi="Times New Roman" w:cs="Times New Roman"/>
          <w:sz w:val="24"/>
          <w:szCs w:val="24"/>
        </w:rPr>
        <w:t>.</w:t>
      </w:r>
    </w:p>
    <w:p w14:paraId="05B6AF92" w14:textId="77777777" w:rsidR="00D6134C" w:rsidRPr="00CF469A" w:rsidRDefault="00D6134C" w:rsidP="004D4C91">
      <w:pPr>
        <w:spacing w:after="0" w:line="240" w:lineRule="auto"/>
        <w:rPr>
          <w:rFonts w:ascii="Times New Roman" w:hAnsi="Times New Roman" w:cs="Times New Roman"/>
          <w:sz w:val="24"/>
          <w:szCs w:val="24"/>
        </w:rPr>
      </w:pPr>
    </w:p>
    <w:p w14:paraId="4EEE26FE" w14:textId="3E07F29D" w:rsidR="002D4B55" w:rsidRPr="00CF469A" w:rsidRDefault="00996DD4"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proofErr w:type="spellStart"/>
      <w:r w:rsidR="008854D7" w:rsidRPr="00CF469A">
        <w:rPr>
          <w:rFonts w:ascii="Times New Roman" w:hAnsi="Times New Roman" w:cs="Times New Roman"/>
          <w:sz w:val="24"/>
          <w:szCs w:val="24"/>
        </w:rPr>
        <w:t>Masciotra</w:t>
      </w:r>
      <w:proofErr w:type="spellEnd"/>
      <w:r w:rsidR="008854D7" w:rsidRPr="00CF469A">
        <w:rPr>
          <w:rFonts w:ascii="Times New Roman" w:hAnsi="Times New Roman" w:cs="Times New Roman"/>
          <w:sz w:val="24"/>
          <w:szCs w:val="24"/>
        </w:rPr>
        <w:t>, D</w:t>
      </w:r>
      <w:r w:rsidR="002D4B55" w:rsidRPr="00CF469A">
        <w:rPr>
          <w:rFonts w:ascii="Times New Roman" w:hAnsi="Times New Roman" w:cs="Times New Roman"/>
          <w:sz w:val="24"/>
          <w:szCs w:val="24"/>
        </w:rPr>
        <w:t>. (20</w:t>
      </w:r>
      <w:r w:rsidR="00D6134C" w:rsidRPr="00CF469A">
        <w:rPr>
          <w:rFonts w:ascii="Times New Roman" w:hAnsi="Times New Roman" w:cs="Times New Roman"/>
          <w:sz w:val="24"/>
          <w:szCs w:val="24"/>
        </w:rPr>
        <w:t>10</w:t>
      </w:r>
      <w:r w:rsidR="002D4B55" w:rsidRPr="00CF469A">
        <w:rPr>
          <w:rFonts w:ascii="Times New Roman" w:hAnsi="Times New Roman" w:cs="Times New Roman"/>
          <w:sz w:val="24"/>
          <w:szCs w:val="24"/>
        </w:rPr>
        <w:t xml:space="preserve">). </w:t>
      </w:r>
      <w:r w:rsidR="00CF469A" w:rsidRPr="00CF469A">
        <w:rPr>
          <w:rFonts w:ascii="Times New Roman" w:hAnsi="Times New Roman" w:cs="Times New Roman"/>
          <w:sz w:val="24"/>
          <w:szCs w:val="24"/>
        </w:rPr>
        <w:t xml:space="preserve">L’expérience en action : la clé d’une approche dite située. Dans D. </w:t>
      </w:r>
      <w:proofErr w:type="spellStart"/>
      <w:r w:rsidR="00CF469A" w:rsidRPr="00CF469A">
        <w:rPr>
          <w:rFonts w:ascii="Times New Roman" w:hAnsi="Times New Roman" w:cs="Times New Roman"/>
          <w:sz w:val="24"/>
          <w:szCs w:val="24"/>
        </w:rPr>
        <w:t>Masciotra</w:t>
      </w:r>
      <w:proofErr w:type="spellEnd"/>
      <w:r w:rsidR="00CF469A" w:rsidRPr="00CF469A">
        <w:rPr>
          <w:rFonts w:ascii="Times New Roman" w:hAnsi="Times New Roman" w:cs="Times New Roman"/>
          <w:sz w:val="24"/>
          <w:szCs w:val="24"/>
        </w:rPr>
        <w:t xml:space="preserve">, F. </w:t>
      </w:r>
      <w:proofErr w:type="spellStart"/>
      <w:r w:rsidR="00CF469A" w:rsidRPr="00CF469A">
        <w:rPr>
          <w:rFonts w:ascii="Times New Roman" w:hAnsi="Times New Roman" w:cs="Times New Roman"/>
          <w:sz w:val="24"/>
          <w:szCs w:val="24"/>
        </w:rPr>
        <w:t>Medzo</w:t>
      </w:r>
      <w:proofErr w:type="spellEnd"/>
      <w:r w:rsidR="00CF469A" w:rsidRPr="00CF469A">
        <w:rPr>
          <w:rFonts w:ascii="Times New Roman" w:hAnsi="Times New Roman" w:cs="Times New Roman"/>
          <w:sz w:val="24"/>
          <w:szCs w:val="24"/>
        </w:rPr>
        <w:t xml:space="preserve">, &amp; P. </w:t>
      </w:r>
      <w:proofErr w:type="spellStart"/>
      <w:r w:rsidR="00CF469A" w:rsidRPr="00CF469A">
        <w:rPr>
          <w:rFonts w:ascii="Times New Roman" w:hAnsi="Times New Roman" w:cs="Times New Roman"/>
          <w:sz w:val="24"/>
          <w:szCs w:val="24"/>
        </w:rPr>
        <w:t>Jonnaert</w:t>
      </w:r>
      <w:proofErr w:type="spellEnd"/>
      <w:r w:rsidR="00CF469A" w:rsidRPr="00CF469A">
        <w:rPr>
          <w:rFonts w:ascii="Times New Roman" w:hAnsi="Times New Roman" w:cs="Times New Roman"/>
          <w:sz w:val="24"/>
          <w:szCs w:val="24"/>
        </w:rPr>
        <w:t>. (</w:t>
      </w:r>
      <w:proofErr w:type="spellStart"/>
      <w:r w:rsidR="00CF469A" w:rsidRPr="00CF469A">
        <w:rPr>
          <w:rFonts w:ascii="Times New Roman" w:hAnsi="Times New Roman" w:cs="Times New Roman"/>
          <w:sz w:val="24"/>
          <w:szCs w:val="24"/>
        </w:rPr>
        <w:t>Dirs</w:t>
      </w:r>
      <w:proofErr w:type="spellEnd"/>
      <w:r w:rsidR="00CF469A" w:rsidRPr="00CF469A">
        <w:rPr>
          <w:rFonts w:ascii="Times New Roman" w:hAnsi="Times New Roman" w:cs="Times New Roman"/>
          <w:sz w:val="24"/>
          <w:szCs w:val="24"/>
        </w:rPr>
        <w:t xml:space="preserve">), </w:t>
      </w:r>
      <w:r w:rsidR="00CF469A" w:rsidRPr="00CF469A">
        <w:rPr>
          <w:rFonts w:ascii="Times New Roman" w:hAnsi="Times New Roman" w:cs="Times New Roman"/>
          <w:i/>
          <w:sz w:val="24"/>
          <w:szCs w:val="24"/>
        </w:rPr>
        <w:t xml:space="preserve">Vers une approche située en éducation </w:t>
      </w:r>
      <w:r w:rsidR="00CF469A" w:rsidRPr="00CF469A">
        <w:rPr>
          <w:rFonts w:ascii="Times New Roman" w:hAnsi="Times New Roman" w:cs="Times New Roman"/>
          <w:sz w:val="24"/>
          <w:szCs w:val="24"/>
        </w:rPr>
        <w:t xml:space="preserve">(pp. 13-30). Cahiers scientifiques de l’ACFAS. Cahier 11. </w:t>
      </w:r>
    </w:p>
    <w:p w14:paraId="64A1756F" w14:textId="77777777" w:rsidR="00D6134C" w:rsidRPr="00CF469A" w:rsidRDefault="00D6134C" w:rsidP="004D4C91">
      <w:pPr>
        <w:spacing w:after="0" w:line="240" w:lineRule="auto"/>
        <w:rPr>
          <w:rFonts w:ascii="Times New Roman" w:hAnsi="Times New Roman" w:cs="Times New Roman"/>
          <w:sz w:val="24"/>
          <w:szCs w:val="24"/>
        </w:rPr>
      </w:pPr>
    </w:p>
    <w:p w14:paraId="215ABC9C" w14:textId="212319F0" w:rsidR="008854D7" w:rsidRPr="00CF469A" w:rsidRDefault="00996DD4" w:rsidP="004D4C91">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proofErr w:type="spellStart"/>
      <w:r w:rsidR="008854D7" w:rsidRPr="00CF469A">
        <w:rPr>
          <w:rFonts w:ascii="Times New Roman" w:hAnsi="Times New Roman" w:cs="Times New Roman"/>
          <w:sz w:val="24"/>
          <w:szCs w:val="24"/>
        </w:rPr>
        <w:t>Schön</w:t>
      </w:r>
      <w:proofErr w:type="spellEnd"/>
      <w:r w:rsidR="008854D7" w:rsidRPr="00CF469A">
        <w:rPr>
          <w:rFonts w:ascii="Times New Roman" w:hAnsi="Times New Roman" w:cs="Times New Roman"/>
          <w:sz w:val="24"/>
          <w:szCs w:val="24"/>
        </w:rPr>
        <w:t>, D</w:t>
      </w:r>
      <w:r w:rsidR="002D4B55" w:rsidRPr="00CF469A">
        <w:rPr>
          <w:rFonts w:ascii="Times New Roman" w:hAnsi="Times New Roman" w:cs="Times New Roman"/>
          <w:sz w:val="24"/>
          <w:szCs w:val="24"/>
        </w:rPr>
        <w:t>.</w:t>
      </w:r>
      <w:r w:rsidR="008854D7" w:rsidRPr="00CF469A">
        <w:rPr>
          <w:rFonts w:ascii="Times New Roman" w:hAnsi="Times New Roman" w:cs="Times New Roman"/>
          <w:sz w:val="24"/>
          <w:szCs w:val="24"/>
        </w:rPr>
        <w:t>A.</w:t>
      </w:r>
      <w:r w:rsidR="002D4B55" w:rsidRPr="00CF469A">
        <w:rPr>
          <w:rFonts w:ascii="Times New Roman" w:hAnsi="Times New Roman" w:cs="Times New Roman"/>
          <w:sz w:val="24"/>
          <w:szCs w:val="24"/>
        </w:rPr>
        <w:t xml:space="preserve"> (1994).</w:t>
      </w:r>
      <w:r w:rsidR="008854D7" w:rsidRPr="00CF469A">
        <w:rPr>
          <w:rFonts w:ascii="Times New Roman" w:hAnsi="Times New Roman" w:cs="Times New Roman"/>
          <w:sz w:val="24"/>
          <w:szCs w:val="24"/>
        </w:rPr>
        <w:t xml:space="preserve"> Le praticien réflexif. Montréal: Logiques.</w:t>
      </w:r>
    </w:p>
    <w:p w14:paraId="5AA6D444" w14:textId="77777777" w:rsidR="00D6134C" w:rsidRPr="00CF469A" w:rsidRDefault="00D6134C" w:rsidP="004D4C91">
      <w:pPr>
        <w:spacing w:after="0" w:line="240" w:lineRule="auto"/>
        <w:rPr>
          <w:rFonts w:ascii="Times New Roman" w:hAnsi="Times New Roman" w:cs="Times New Roman"/>
          <w:sz w:val="24"/>
          <w:szCs w:val="24"/>
        </w:rPr>
      </w:pPr>
    </w:p>
    <w:p w14:paraId="7F0D73B7" w14:textId="77777777" w:rsidR="00CF469A" w:rsidRPr="00CF469A" w:rsidRDefault="00996DD4" w:rsidP="00B83B90">
      <w:pPr>
        <w:spacing w:after="0" w:line="240" w:lineRule="auto"/>
        <w:rPr>
          <w:rFonts w:ascii="Times New Roman" w:hAnsi="Times New Roman" w:cs="Times New Roman"/>
          <w:sz w:val="24"/>
          <w:szCs w:val="24"/>
        </w:rPr>
      </w:pPr>
      <w:r w:rsidRPr="00CF469A">
        <w:rPr>
          <w:rFonts w:ascii="Times New Roman" w:hAnsi="Times New Roman" w:cs="Times New Roman"/>
          <w:sz w:val="24"/>
          <w:szCs w:val="24"/>
        </w:rPr>
        <w:t xml:space="preserve">- </w:t>
      </w:r>
      <w:r w:rsidR="002D4B55" w:rsidRPr="00CF469A">
        <w:rPr>
          <w:rFonts w:ascii="Times New Roman" w:hAnsi="Times New Roman" w:cs="Times New Roman"/>
          <w:sz w:val="24"/>
          <w:szCs w:val="24"/>
        </w:rPr>
        <w:t xml:space="preserve">Tardif, J. (2017). Des repères conceptuels à propos de la notion de compétence, de son développement et de son évaluation. Dans M. </w:t>
      </w:r>
      <w:proofErr w:type="spellStart"/>
      <w:r w:rsidR="002D4B55" w:rsidRPr="00CF469A">
        <w:rPr>
          <w:rFonts w:ascii="Times New Roman" w:hAnsi="Times New Roman" w:cs="Times New Roman"/>
          <w:sz w:val="24"/>
          <w:szCs w:val="24"/>
        </w:rPr>
        <w:t>Poumay</w:t>
      </w:r>
      <w:proofErr w:type="spellEnd"/>
      <w:r w:rsidR="002D4B55" w:rsidRPr="00CF469A">
        <w:rPr>
          <w:rFonts w:ascii="Times New Roman" w:hAnsi="Times New Roman" w:cs="Times New Roman"/>
          <w:sz w:val="24"/>
          <w:szCs w:val="24"/>
        </w:rPr>
        <w:t>, J. Tardif, &amp; F. Georges (</w:t>
      </w:r>
      <w:proofErr w:type="spellStart"/>
      <w:r w:rsidR="002D4B55" w:rsidRPr="00CF469A">
        <w:rPr>
          <w:rFonts w:ascii="Times New Roman" w:hAnsi="Times New Roman" w:cs="Times New Roman"/>
          <w:sz w:val="24"/>
          <w:szCs w:val="24"/>
        </w:rPr>
        <w:t>Dir</w:t>
      </w:r>
      <w:proofErr w:type="spellEnd"/>
      <w:r w:rsidR="002D4B55" w:rsidRPr="00CF469A">
        <w:rPr>
          <w:rFonts w:ascii="Times New Roman" w:hAnsi="Times New Roman" w:cs="Times New Roman"/>
          <w:sz w:val="24"/>
          <w:szCs w:val="24"/>
        </w:rPr>
        <w:t>.). Organiser la formation à partir des compétences. (</w:t>
      </w:r>
      <w:proofErr w:type="gramStart"/>
      <w:r w:rsidR="002D4B55" w:rsidRPr="00CF469A">
        <w:rPr>
          <w:rFonts w:ascii="Times New Roman" w:hAnsi="Times New Roman" w:cs="Times New Roman"/>
          <w:sz w:val="24"/>
          <w:szCs w:val="24"/>
        </w:rPr>
        <w:t>pp</w:t>
      </w:r>
      <w:proofErr w:type="gramEnd"/>
      <w:r w:rsidR="002D4B55" w:rsidRPr="00CF469A">
        <w:rPr>
          <w:rFonts w:ascii="Times New Roman" w:hAnsi="Times New Roman" w:cs="Times New Roman"/>
          <w:sz w:val="24"/>
          <w:szCs w:val="24"/>
        </w:rPr>
        <w:t xml:space="preserve"> 15-37). Bruxelles : De Boeck.</w:t>
      </w:r>
    </w:p>
    <w:p w14:paraId="72FEAD38" w14:textId="77777777" w:rsidR="00CF469A" w:rsidRDefault="00CF469A" w:rsidP="00B83B90">
      <w:pPr>
        <w:spacing w:after="0" w:line="240" w:lineRule="auto"/>
        <w:rPr>
          <w:rFonts w:ascii="Times New Roman" w:hAnsi="Times New Roman" w:cs="Times New Roman"/>
        </w:rPr>
      </w:pPr>
    </w:p>
    <w:p w14:paraId="1DBA47E8" w14:textId="421D2419" w:rsidR="00D54618" w:rsidRDefault="002D4B55" w:rsidP="00B83B90">
      <w:pPr>
        <w:spacing w:after="0" w:line="240" w:lineRule="auto"/>
        <w:rPr>
          <w:rFonts w:ascii="Times New Roman" w:hAnsi="Times New Roman" w:cs="Times New Roman"/>
          <w:b/>
        </w:rPr>
      </w:pPr>
      <w:r w:rsidRPr="002633AF">
        <w:rPr>
          <w:rFonts w:ascii="Times New Roman" w:hAnsi="Times New Roman" w:cs="Times New Roman"/>
        </w:rPr>
        <w:t xml:space="preserve"> </w:t>
      </w:r>
      <w:r w:rsidR="00D54618">
        <w:rPr>
          <w:rFonts w:ascii="Times New Roman" w:hAnsi="Times New Roman" w:cs="Times New Roman"/>
          <w:b/>
        </w:rPr>
        <w:br w:type="page"/>
      </w:r>
    </w:p>
    <w:p w14:paraId="3E934855" w14:textId="0DC0B6E4" w:rsidR="00A72A46" w:rsidRPr="00A72A46" w:rsidRDefault="00A72A46" w:rsidP="00D54618">
      <w:pPr>
        <w:spacing w:after="160" w:line="259" w:lineRule="auto"/>
        <w:rPr>
          <w:rFonts w:ascii="Times New Roman" w:hAnsi="Times New Roman" w:cs="Times New Roman"/>
          <w:b/>
        </w:rPr>
      </w:pPr>
      <w:r w:rsidRPr="00A72A46">
        <w:rPr>
          <w:rFonts w:ascii="Times New Roman" w:hAnsi="Times New Roman" w:cs="Times New Roman"/>
          <w:b/>
        </w:rPr>
        <w:lastRenderedPageBreak/>
        <w:t xml:space="preserve">TEXTE EXPLICATIF ÉCRIT ET AJOUTÉ PAR FRANÇOIS GUILLEMETTE, </w:t>
      </w:r>
      <w:r w:rsidR="00F03D8D">
        <w:rPr>
          <w:rFonts w:ascii="Times New Roman" w:hAnsi="Times New Roman" w:cs="Times New Roman"/>
          <w:b/>
        </w:rPr>
        <w:t>juillet</w:t>
      </w:r>
      <w:r w:rsidRPr="00A72A46">
        <w:rPr>
          <w:rFonts w:ascii="Times New Roman" w:hAnsi="Times New Roman" w:cs="Times New Roman"/>
          <w:b/>
        </w:rPr>
        <w:t xml:space="preserve"> 202</w:t>
      </w:r>
      <w:r w:rsidR="00F03D8D">
        <w:rPr>
          <w:rFonts w:ascii="Times New Roman" w:hAnsi="Times New Roman" w:cs="Times New Roman"/>
          <w:b/>
        </w:rPr>
        <w:t>1</w:t>
      </w:r>
    </w:p>
    <w:p w14:paraId="334AC384" w14:textId="77777777" w:rsidR="00A72A46" w:rsidRDefault="00A72A46" w:rsidP="004D4C91">
      <w:pPr>
        <w:spacing w:after="0" w:line="240" w:lineRule="auto"/>
        <w:rPr>
          <w:rFonts w:ascii="Times New Roman" w:hAnsi="Times New Roman" w:cs="Times New Roman"/>
        </w:rPr>
      </w:pPr>
    </w:p>
    <w:p w14:paraId="563B623D" w14:textId="77777777" w:rsidR="00A72A46" w:rsidRPr="00EA27FF" w:rsidRDefault="00A72A46" w:rsidP="00F03D8D">
      <w:pPr>
        <w:spacing w:after="0" w:line="360" w:lineRule="auto"/>
        <w:jc w:val="both"/>
        <w:rPr>
          <w:rFonts w:ascii="Times New Roman" w:hAnsi="Times New Roman" w:cs="Times New Roman"/>
          <w:b/>
          <w:sz w:val="24"/>
          <w:szCs w:val="24"/>
        </w:rPr>
      </w:pPr>
      <w:r w:rsidRPr="00EA27FF">
        <w:rPr>
          <w:rFonts w:ascii="Times New Roman" w:hAnsi="Times New Roman" w:cs="Times New Roman"/>
          <w:b/>
          <w:sz w:val="24"/>
          <w:szCs w:val="24"/>
        </w:rPr>
        <w:t>Approche par compétences (APC)</w:t>
      </w:r>
    </w:p>
    <w:p w14:paraId="3F349C58" w14:textId="77777777" w:rsidR="00A72A46" w:rsidRPr="00EA27FF"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Il y a des centaines d’APC, notamment parce qu’il y a des centaines de définitions du terme « compétence ».</w:t>
      </w:r>
      <w:r>
        <w:rPr>
          <w:rFonts w:ascii="Times New Roman" w:hAnsi="Times New Roman" w:cs="Times New Roman"/>
          <w:sz w:val="24"/>
          <w:szCs w:val="24"/>
        </w:rPr>
        <w:t xml:space="preserve"> </w:t>
      </w:r>
      <w:r w:rsidRPr="00EA27FF">
        <w:rPr>
          <w:rFonts w:ascii="Times New Roman" w:hAnsi="Times New Roman" w:cs="Times New Roman"/>
          <w:sz w:val="24"/>
          <w:szCs w:val="24"/>
        </w:rPr>
        <w:t>Ici comme ailleurs</w:t>
      </w:r>
      <w:r>
        <w:rPr>
          <w:rFonts w:ascii="Times New Roman" w:hAnsi="Times New Roman" w:cs="Times New Roman"/>
          <w:sz w:val="24"/>
          <w:szCs w:val="24"/>
        </w:rPr>
        <w:t>,</w:t>
      </w:r>
      <w:r w:rsidRPr="00EA27FF">
        <w:rPr>
          <w:rFonts w:ascii="Times New Roman" w:hAnsi="Times New Roman" w:cs="Times New Roman"/>
          <w:sz w:val="24"/>
          <w:szCs w:val="24"/>
        </w:rPr>
        <w:t xml:space="preserve"> il faut faire des choix dans la clarification conceptuelle. Dans cette opération, il faut éliminer les définitions qui ne veulent rien dire, soit parce qu’elles sont floues et « invisibles », soit parce qu’elles veulent tout dire (et donc elles ne veulent rien dire). Dans les définitions qui désignent des réalités invisibles, nous plaçons celles qui définissent la compétence comme une capacité, un potentiel, un savoir ou un ensemble de savoirs. Dans les définitions qui veulent tout dire, nous plaçons celles qui définissent la compétence à la fois comme un état (être compétent) et comme un avoir (avoir des </w:t>
      </w:r>
      <w:r w:rsidRPr="005D021A">
        <w:rPr>
          <w:rFonts w:ascii="Times New Roman" w:hAnsi="Times New Roman" w:cs="Times New Roman"/>
          <w:sz w:val="24"/>
          <w:szCs w:val="24"/>
        </w:rPr>
        <w:t>compétences) et comme une qualité (celui qui est compétent est supérieur au novice mais inférieur à l’expert) et comme une pratique (par exemple les actes réservés à telle profession), sans parler du sens juridique qu’a souvent le terme, par exemple dans les responsabilités de divers secteurs de gouvernance. En français, le terme « compétence » peut avoir de multiples significations</w:t>
      </w:r>
      <w:r w:rsidRPr="00EA27FF">
        <w:rPr>
          <w:rFonts w:ascii="Times New Roman" w:hAnsi="Times New Roman" w:cs="Times New Roman"/>
          <w:sz w:val="24"/>
          <w:szCs w:val="24"/>
        </w:rPr>
        <w:t>. C’est pourquoi il faut choisir laquelle est en jeu dans l’approche pédagogique que l’on est en train de définir</w:t>
      </w:r>
      <w:r>
        <w:rPr>
          <w:rFonts w:ascii="Times New Roman" w:hAnsi="Times New Roman" w:cs="Times New Roman"/>
          <w:sz w:val="24"/>
          <w:szCs w:val="24"/>
        </w:rPr>
        <w:t xml:space="preserve"> </w:t>
      </w:r>
      <w:r w:rsidRPr="005D021A">
        <w:rPr>
          <w:rFonts w:ascii="Times New Roman" w:hAnsi="Times New Roman" w:cs="Times New Roman"/>
          <w:sz w:val="24"/>
          <w:szCs w:val="24"/>
        </w:rPr>
        <w:t>(Guillemette &amp; Gauthier, 2006).</w:t>
      </w:r>
    </w:p>
    <w:p w14:paraId="605EC22B" w14:textId="17E8BC52" w:rsidR="00A72A46"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Dans nos recherches sur l’APC, nous avons analysé plus de 1500 publications académiques. Nous osons proposer quelques éléments qui semblent faire consensus lorsque l’on parle des compétences à développer dans un cadre académique.</w:t>
      </w:r>
    </w:p>
    <w:p w14:paraId="568D575A" w14:textId="77777777" w:rsidR="00F03D8D" w:rsidRPr="00EA27FF" w:rsidRDefault="00F03D8D" w:rsidP="00F03D8D">
      <w:pPr>
        <w:spacing w:after="0" w:line="360" w:lineRule="auto"/>
        <w:jc w:val="both"/>
        <w:rPr>
          <w:rFonts w:ascii="Times New Roman" w:hAnsi="Times New Roman" w:cs="Times New Roman"/>
          <w:sz w:val="24"/>
          <w:szCs w:val="24"/>
        </w:rPr>
      </w:pPr>
    </w:p>
    <w:p w14:paraId="2E4BE289" w14:textId="05F0C903" w:rsidR="00A72A46" w:rsidRPr="00035126" w:rsidRDefault="00A72A46" w:rsidP="00F03D8D">
      <w:pPr>
        <w:spacing w:after="0" w:line="360" w:lineRule="auto"/>
        <w:jc w:val="both"/>
        <w:rPr>
          <w:rFonts w:ascii="Times New Roman" w:hAnsi="Times New Roman" w:cs="Times New Roman"/>
          <w:strike/>
          <w:sz w:val="24"/>
          <w:szCs w:val="24"/>
        </w:rPr>
      </w:pPr>
      <w:r w:rsidRPr="004E6F38">
        <w:rPr>
          <w:rFonts w:ascii="Times New Roman" w:hAnsi="Times New Roman" w:cs="Times New Roman"/>
          <w:b/>
          <w:sz w:val="24"/>
          <w:szCs w:val="24"/>
        </w:rPr>
        <w:t>1. La compétence est de l’ordre de l’action</w:t>
      </w:r>
      <w:r w:rsidRPr="00EA27FF">
        <w:rPr>
          <w:rFonts w:ascii="Times New Roman" w:hAnsi="Times New Roman" w:cs="Times New Roman"/>
          <w:sz w:val="24"/>
          <w:szCs w:val="24"/>
        </w:rPr>
        <w:t xml:space="preserve">. Nous préférons ne pas parler d’un savoir-agir parce que nous estimons que c’est trop obscur comme terme. Il nous apparaît qu’il faut choisir : Est-ce un savoir (invisible parce que interne)? Ou est-ce une action (avec son extériorité observable)? Il semble que de dire que la compétence est une action fasse le plus large consensus. Dans un effort de synthèse des très nombreuses publications sur la notion de compétence, Jacques Tardif, (qui est l’auteur francophone le plus cité sur la notion de compétence) affirme : « Dans </w:t>
      </w:r>
      <w:r w:rsidRPr="00035126">
        <w:rPr>
          <w:rFonts w:ascii="Times New Roman" w:hAnsi="Times New Roman" w:cs="Times New Roman"/>
          <w:sz w:val="24"/>
          <w:szCs w:val="24"/>
        </w:rPr>
        <w:t xml:space="preserve">l’ensemble des définitions, on considère que toute compétence est nécessairement de l’ordre de l’action. » (Tardif, 2017, p. 19). </w:t>
      </w:r>
      <w:r w:rsidR="00A358F3" w:rsidRPr="00035126">
        <w:rPr>
          <w:rFonts w:ascii="Times New Roman" w:hAnsi="Times New Roman" w:cs="Times New Roman"/>
          <w:sz w:val="24"/>
          <w:szCs w:val="24"/>
        </w:rPr>
        <w:t>Prieur et al. (2014) écrivent qu’il existe un consensus pour dire que « la compétence se situe du côté de l’action » (p. 18). Mercier-</w:t>
      </w:r>
      <w:proofErr w:type="spellStart"/>
      <w:r w:rsidR="00A358F3" w:rsidRPr="00035126">
        <w:rPr>
          <w:rFonts w:ascii="Times New Roman" w:hAnsi="Times New Roman" w:cs="Times New Roman"/>
          <w:sz w:val="24"/>
          <w:szCs w:val="24"/>
        </w:rPr>
        <w:t>Dequidt</w:t>
      </w:r>
      <w:proofErr w:type="spellEnd"/>
      <w:r w:rsidR="00A358F3" w:rsidRPr="00035126">
        <w:rPr>
          <w:rFonts w:ascii="Times New Roman" w:hAnsi="Times New Roman" w:cs="Times New Roman"/>
          <w:sz w:val="24"/>
          <w:szCs w:val="24"/>
        </w:rPr>
        <w:t xml:space="preserve"> &amp; Bécu-</w:t>
      </w:r>
      <w:proofErr w:type="spellStart"/>
      <w:r w:rsidR="00A358F3" w:rsidRPr="00035126">
        <w:rPr>
          <w:rFonts w:ascii="Times New Roman" w:hAnsi="Times New Roman" w:cs="Times New Roman"/>
          <w:sz w:val="24"/>
          <w:szCs w:val="24"/>
        </w:rPr>
        <w:t>Robinault</w:t>
      </w:r>
      <w:proofErr w:type="spellEnd"/>
      <w:r w:rsidR="00A358F3" w:rsidRPr="00035126">
        <w:rPr>
          <w:rFonts w:ascii="Times New Roman" w:hAnsi="Times New Roman" w:cs="Times New Roman"/>
          <w:sz w:val="24"/>
          <w:szCs w:val="24"/>
        </w:rPr>
        <w:t xml:space="preserve"> (2014) vont dans le même sens en affirmant que les multiples définitions ont en commun de dire que « la compétence est reliée à l’action » (p. 30). </w:t>
      </w:r>
    </w:p>
    <w:p w14:paraId="303E5F5D" w14:textId="343086E3" w:rsidR="00A72A46" w:rsidRPr="00EA27FF" w:rsidRDefault="00A72A46" w:rsidP="00F03D8D">
      <w:pPr>
        <w:spacing w:after="0" w:line="360" w:lineRule="auto"/>
        <w:jc w:val="both"/>
        <w:rPr>
          <w:rFonts w:ascii="Times New Roman" w:hAnsi="Times New Roman" w:cs="Times New Roman"/>
          <w:sz w:val="24"/>
          <w:szCs w:val="24"/>
        </w:rPr>
      </w:pPr>
      <w:r w:rsidRPr="00035126">
        <w:rPr>
          <w:rFonts w:ascii="Times New Roman" w:hAnsi="Times New Roman" w:cs="Times New Roman"/>
          <w:sz w:val="24"/>
          <w:szCs w:val="24"/>
        </w:rPr>
        <w:t xml:space="preserve">Dans la spécification des compétences, on prendra soin d’indiquer des actions précises et </w:t>
      </w:r>
      <w:r w:rsidRPr="00EA27FF">
        <w:rPr>
          <w:rFonts w:ascii="Times New Roman" w:hAnsi="Times New Roman" w:cs="Times New Roman"/>
          <w:sz w:val="24"/>
          <w:szCs w:val="24"/>
        </w:rPr>
        <w:t xml:space="preserve">observables. Par exemple, au lieu de formuler en termes de « est capable d’identifier les parties et </w:t>
      </w:r>
      <w:r w:rsidRPr="00EA27FF">
        <w:rPr>
          <w:rFonts w:ascii="Times New Roman" w:hAnsi="Times New Roman" w:cs="Times New Roman"/>
          <w:sz w:val="24"/>
          <w:szCs w:val="24"/>
        </w:rPr>
        <w:lastRenderedPageBreak/>
        <w:t>les systèmes présents dans une épaule » (la capacité est invisible), on formulera en termes de « identifie les parties et les systèmes… ». Il ne suffit pas non plus d’utiliser des verbes d’action (en français, très peu de verbes ne sont pas des verbes d’action); il faut que l’action désignée comme compétence soit observable. Des verbes comme « connaître », « comprendre », « analyser », « prendre c</w:t>
      </w:r>
      <w:r>
        <w:rPr>
          <w:rFonts w:ascii="Times New Roman" w:hAnsi="Times New Roman" w:cs="Times New Roman"/>
          <w:sz w:val="24"/>
          <w:szCs w:val="24"/>
        </w:rPr>
        <w:t>onscience », « expérimenter » – </w:t>
      </w:r>
      <w:r w:rsidRPr="00EA27FF">
        <w:rPr>
          <w:rFonts w:ascii="Times New Roman" w:hAnsi="Times New Roman" w:cs="Times New Roman"/>
          <w:sz w:val="24"/>
          <w:szCs w:val="24"/>
        </w:rPr>
        <w:t>pour ne donner que quelques exemples</w:t>
      </w:r>
      <w:r>
        <w:rPr>
          <w:rFonts w:ascii="Times New Roman" w:hAnsi="Times New Roman" w:cs="Times New Roman"/>
          <w:sz w:val="24"/>
          <w:szCs w:val="24"/>
        </w:rPr>
        <w:t> </w:t>
      </w:r>
      <w:r w:rsidRPr="00EA27FF">
        <w:rPr>
          <w:rFonts w:ascii="Times New Roman" w:hAnsi="Times New Roman" w:cs="Times New Roman"/>
          <w:sz w:val="24"/>
          <w:szCs w:val="24"/>
        </w:rPr>
        <w:t xml:space="preserve">– sont des verbes d’action, mais ne désignent </w:t>
      </w:r>
      <w:r w:rsidR="00A358F3">
        <w:rPr>
          <w:rFonts w:ascii="Times New Roman" w:hAnsi="Times New Roman" w:cs="Times New Roman"/>
          <w:sz w:val="24"/>
          <w:szCs w:val="24"/>
        </w:rPr>
        <w:t>pas</w:t>
      </w:r>
      <w:r w:rsidRPr="00EA27FF">
        <w:rPr>
          <w:rFonts w:ascii="Times New Roman" w:hAnsi="Times New Roman" w:cs="Times New Roman"/>
          <w:sz w:val="24"/>
          <w:szCs w:val="24"/>
        </w:rPr>
        <w:t xml:space="preserve"> des actions observables.</w:t>
      </w:r>
    </w:p>
    <w:p w14:paraId="134C0AB6" w14:textId="77777777" w:rsidR="00F03D8D" w:rsidRDefault="00F03D8D" w:rsidP="00F03D8D">
      <w:pPr>
        <w:spacing w:after="0" w:line="360" w:lineRule="auto"/>
        <w:jc w:val="both"/>
        <w:rPr>
          <w:rFonts w:ascii="Times New Roman" w:hAnsi="Times New Roman" w:cs="Times New Roman"/>
          <w:b/>
          <w:sz w:val="24"/>
          <w:szCs w:val="24"/>
        </w:rPr>
      </w:pPr>
    </w:p>
    <w:p w14:paraId="63DD3219" w14:textId="075CEF11" w:rsidR="00A72A46" w:rsidRPr="00035126" w:rsidRDefault="00A72A46" w:rsidP="00F03D8D">
      <w:pPr>
        <w:spacing w:after="0" w:line="360" w:lineRule="auto"/>
        <w:jc w:val="both"/>
        <w:rPr>
          <w:rFonts w:ascii="Times New Roman" w:hAnsi="Times New Roman" w:cs="Times New Roman"/>
          <w:sz w:val="24"/>
          <w:szCs w:val="24"/>
        </w:rPr>
      </w:pPr>
      <w:r w:rsidRPr="004E6F38">
        <w:rPr>
          <w:rFonts w:ascii="Times New Roman" w:hAnsi="Times New Roman" w:cs="Times New Roman"/>
          <w:b/>
          <w:sz w:val="24"/>
          <w:szCs w:val="24"/>
        </w:rPr>
        <w:t>2. On ne peut pas réduire la compétence à un comportement précis.</w:t>
      </w:r>
      <w:r w:rsidRPr="00EA27FF">
        <w:rPr>
          <w:rFonts w:ascii="Times New Roman" w:hAnsi="Times New Roman" w:cs="Times New Roman"/>
          <w:sz w:val="24"/>
          <w:szCs w:val="24"/>
        </w:rPr>
        <w:t xml:space="preserve"> L’action implique toujours une certaine réflexion. Cela aussi semble faire consensus. Dans l’approche par compétences où l’on considère la compétence comme une action, l’enseignement ne consiste pas à faire apprendre des routines ou à « entraîner », ou à faire répéter des comportements pour acquérir des automatismes (Le Boterf, 1998; Parlier, </w:t>
      </w:r>
      <w:r w:rsidRPr="00035126">
        <w:rPr>
          <w:rFonts w:ascii="Times New Roman" w:hAnsi="Times New Roman" w:cs="Times New Roman"/>
          <w:sz w:val="24"/>
          <w:szCs w:val="24"/>
        </w:rPr>
        <w:t>1999).</w:t>
      </w:r>
      <w:r w:rsidR="00A358F3" w:rsidRPr="00035126">
        <w:rPr>
          <w:rFonts w:ascii="Times New Roman" w:hAnsi="Times New Roman" w:cs="Times New Roman"/>
          <w:sz w:val="24"/>
          <w:szCs w:val="24"/>
        </w:rPr>
        <w:t xml:space="preserve"> L’apprentissage d’une compétence est essentiellement </w:t>
      </w:r>
      <w:r w:rsidR="0037602A" w:rsidRPr="00035126">
        <w:rPr>
          <w:rFonts w:ascii="Times New Roman" w:hAnsi="Times New Roman" w:cs="Times New Roman"/>
          <w:sz w:val="24"/>
          <w:szCs w:val="24"/>
        </w:rPr>
        <w:t>un processus cognitif, comme toute forme d’apprentissage scolaire. C’est le processus qui est enseigné et appris.</w:t>
      </w:r>
    </w:p>
    <w:p w14:paraId="2AC5A496" w14:textId="77777777" w:rsidR="00F03D8D" w:rsidRDefault="00F03D8D" w:rsidP="00F03D8D">
      <w:pPr>
        <w:spacing w:after="0" w:line="360" w:lineRule="auto"/>
        <w:jc w:val="both"/>
        <w:rPr>
          <w:rFonts w:ascii="Times New Roman" w:hAnsi="Times New Roman" w:cs="Times New Roman"/>
          <w:sz w:val="24"/>
          <w:szCs w:val="24"/>
        </w:rPr>
      </w:pPr>
    </w:p>
    <w:p w14:paraId="2AFDC9EA" w14:textId="6743B00C" w:rsidR="00CB15C3" w:rsidRPr="00035126" w:rsidRDefault="00CB15C3" w:rsidP="00F03D8D">
      <w:pPr>
        <w:spacing w:after="0" w:line="360" w:lineRule="auto"/>
        <w:jc w:val="both"/>
        <w:rPr>
          <w:rFonts w:ascii="Times New Roman" w:hAnsi="Times New Roman" w:cs="Times New Roman"/>
          <w:sz w:val="24"/>
          <w:szCs w:val="24"/>
        </w:rPr>
      </w:pPr>
      <w:r w:rsidRPr="00F03D8D">
        <w:rPr>
          <w:rFonts w:ascii="Times New Roman" w:hAnsi="Times New Roman" w:cs="Times New Roman"/>
          <w:b/>
          <w:sz w:val="24"/>
          <w:szCs w:val="24"/>
        </w:rPr>
        <w:t>3. La compétence est une action pérenne et stable.</w:t>
      </w:r>
      <w:r w:rsidRPr="00035126">
        <w:rPr>
          <w:rFonts w:ascii="Times New Roman" w:hAnsi="Times New Roman" w:cs="Times New Roman"/>
          <w:sz w:val="24"/>
          <w:szCs w:val="24"/>
        </w:rPr>
        <w:t xml:space="preserve"> </w:t>
      </w:r>
      <w:r w:rsidR="00206003" w:rsidRPr="00035126">
        <w:rPr>
          <w:rFonts w:ascii="Times New Roman" w:hAnsi="Times New Roman" w:cs="Times New Roman"/>
          <w:sz w:val="24"/>
          <w:szCs w:val="24"/>
        </w:rPr>
        <w:t xml:space="preserve">Elle n’est pas apprise une seule fois pour toutes. C’est lorsqu’une action se reproduit </w:t>
      </w:r>
      <w:r w:rsidR="007F39F8" w:rsidRPr="00035126">
        <w:rPr>
          <w:rFonts w:ascii="Times New Roman" w:hAnsi="Times New Roman" w:cs="Times New Roman"/>
          <w:sz w:val="24"/>
          <w:szCs w:val="24"/>
        </w:rPr>
        <w:t>dans des situations semblables, en s’adaptant aux contestes différents, qu’elle devient une compétence. On parle alors de pérennité (Allal, 2002; Loisy, 2014) dans le sens qu’au terme d’un développement initial, la compétence-action s’actualise de manière adaptative comme réponse à des situations appartenant à une même famille de situations.</w:t>
      </w:r>
    </w:p>
    <w:p w14:paraId="0EB78CED" w14:textId="77777777" w:rsidR="00F03D8D" w:rsidRDefault="00F03D8D" w:rsidP="00F03D8D">
      <w:pPr>
        <w:spacing w:after="0" w:line="360" w:lineRule="auto"/>
        <w:jc w:val="both"/>
        <w:rPr>
          <w:rFonts w:ascii="Times New Roman" w:hAnsi="Times New Roman" w:cs="Times New Roman"/>
          <w:b/>
          <w:sz w:val="24"/>
          <w:szCs w:val="24"/>
        </w:rPr>
      </w:pPr>
    </w:p>
    <w:p w14:paraId="37D7D594" w14:textId="32A6299A" w:rsidR="00A72A46" w:rsidRPr="00EA27FF" w:rsidRDefault="007F39F8" w:rsidP="00F03D8D">
      <w:pPr>
        <w:spacing w:after="0" w:line="360" w:lineRule="auto"/>
        <w:jc w:val="both"/>
        <w:rPr>
          <w:rFonts w:ascii="Times New Roman" w:hAnsi="Times New Roman" w:cs="Times New Roman"/>
          <w:sz w:val="24"/>
          <w:szCs w:val="24"/>
        </w:rPr>
      </w:pPr>
      <w:r w:rsidRPr="00035126">
        <w:rPr>
          <w:rFonts w:ascii="Times New Roman" w:hAnsi="Times New Roman" w:cs="Times New Roman"/>
          <w:b/>
          <w:sz w:val="24"/>
          <w:szCs w:val="24"/>
        </w:rPr>
        <w:t>4</w:t>
      </w:r>
      <w:r w:rsidR="00A72A46" w:rsidRPr="00035126">
        <w:rPr>
          <w:rFonts w:ascii="Times New Roman" w:hAnsi="Times New Roman" w:cs="Times New Roman"/>
          <w:b/>
          <w:sz w:val="24"/>
          <w:szCs w:val="24"/>
        </w:rPr>
        <w:t>. La compétence est une mobilisation de ressources</w:t>
      </w:r>
      <w:r w:rsidR="00A72A46" w:rsidRPr="00035126">
        <w:rPr>
          <w:rFonts w:ascii="Times New Roman" w:hAnsi="Times New Roman" w:cs="Times New Roman"/>
          <w:sz w:val="24"/>
          <w:szCs w:val="24"/>
        </w:rPr>
        <w:t xml:space="preserve">. </w:t>
      </w:r>
      <w:proofErr w:type="spellStart"/>
      <w:r w:rsidR="00A72A46" w:rsidRPr="00035126">
        <w:rPr>
          <w:rFonts w:ascii="Times New Roman" w:hAnsi="Times New Roman" w:cs="Times New Roman"/>
          <w:sz w:val="24"/>
          <w:szCs w:val="24"/>
        </w:rPr>
        <w:t>Letor</w:t>
      </w:r>
      <w:proofErr w:type="spellEnd"/>
      <w:r w:rsidR="00A72A46" w:rsidRPr="00035126">
        <w:rPr>
          <w:rFonts w:ascii="Times New Roman" w:hAnsi="Times New Roman" w:cs="Times New Roman"/>
          <w:sz w:val="24"/>
          <w:szCs w:val="24"/>
        </w:rPr>
        <w:t xml:space="preserve"> &amp; </w:t>
      </w:r>
      <w:proofErr w:type="spellStart"/>
      <w:r w:rsidR="00A72A46" w:rsidRPr="00035126">
        <w:rPr>
          <w:rFonts w:ascii="Times New Roman" w:hAnsi="Times New Roman" w:cs="Times New Roman"/>
          <w:sz w:val="24"/>
          <w:szCs w:val="24"/>
        </w:rPr>
        <w:t>Vandenberghe</w:t>
      </w:r>
      <w:proofErr w:type="spellEnd"/>
      <w:r w:rsidR="00A72A46" w:rsidRPr="00035126">
        <w:rPr>
          <w:rFonts w:ascii="Times New Roman" w:hAnsi="Times New Roman" w:cs="Times New Roman"/>
          <w:sz w:val="24"/>
          <w:szCs w:val="24"/>
        </w:rPr>
        <w:t xml:space="preserve"> (2003) affirment que la définition, « selon laquelle une compétence se caractérise par la mobilisation spontanée et pertinente de ressources », a été « adoptée dans le monde éducatif francophone » (</w:t>
      </w:r>
      <w:proofErr w:type="spellStart"/>
      <w:r w:rsidR="00A72A46" w:rsidRPr="00035126">
        <w:rPr>
          <w:rFonts w:ascii="Times New Roman" w:hAnsi="Times New Roman" w:cs="Times New Roman"/>
          <w:sz w:val="24"/>
          <w:szCs w:val="24"/>
        </w:rPr>
        <w:t>Letor</w:t>
      </w:r>
      <w:proofErr w:type="spellEnd"/>
      <w:r w:rsidR="00A72A46" w:rsidRPr="00035126">
        <w:rPr>
          <w:rFonts w:ascii="Times New Roman" w:hAnsi="Times New Roman" w:cs="Times New Roman"/>
          <w:sz w:val="24"/>
          <w:szCs w:val="24"/>
        </w:rPr>
        <w:t xml:space="preserve"> &amp; </w:t>
      </w:r>
      <w:proofErr w:type="spellStart"/>
      <w:r w:rsidR="00A72A46" w:rsidRPr="00035126">
        <w:rPr>
          <w:rFonts w:ascii="Times New Roman" w:hAnsi="Times New Roman" w:cs="Times New Roman"/>
          <w:sz w:val="24"/>
          <w:szCs w:val="24"/>
        </w:rPr>
        <w:t>Vandenberghe</w:t>
      </w:r>
      <w:proofErr w:type="spellEnd"/>
      <w:r w:rsidR="00A72A46" w:rsidRPr="00035126">
        <w:rPr>
          <w:rFonts w:ascii="Times New Roman" w:hAnsi="Times New Roman" w:cs="Times New Roman"/>
          <w:sz w:val="24"/>
          <w:szCs w:val="24"/>
        </w:rPr>
        <w:t xml:space="preserve">, 2003, p. 5). Selon cette conception, la compétence </w:t>
      </w:r>
      <w:r w:rsidR="0037602A" w:rsidRPr="00035126">
        <w:rPr>
          <w:rFonts w:ascii="Times New Roman" w:hAnsi="Times New Roman" w:cs="Times New Roman"/>
          <w:sz w:val="24"/>
          <w:szCs w:val="24"/>
        </w:rPr>
        <w:t>« ne réside donc pas dans les ressources elles-mêmes, mais dans la mobilisation de ces ressources » (Lacasse et al., 2016, p. 134).</w:t>
      </w:r>
      <w:r w:rsidR="00A72A46" w:rsidRPr="00035126">
        <w:rPr>
          <w:rFonts w:ascii="Times New Roman" w:hAnsi="Times New Roman" w:cs="Times New Roman"/>
          <w:sz w:val="24"/>
          <w:szCs w:val="24"/>
        </w:rPr>
        <w:t xml:space="preserve"> Elle ne peut donc pas être définie comme un ensemble de ressources ou de savoirs mais plutôt comme une action de mobilisation de ces ressources et savoirs (Bellier, 2000; Chartier &amp; Jacquet-Francillon, 1998; </w:t>
      </w:r>
      <w:proofErr w:type="spellStart"/>
      <w:r w:rsidR="00A72A46" w:rsidRPr="00035126">
        <w:rPr>
          <w:rFonts w:ascii="Times New Roman" w:hAnsi="Times New Roman" w:cs="Times New Roman"/>
          <w:sz w:val="24"/>
          <w:szCs w:val="24"/>
        </w:rPr>
        <w:t>Demailly</w:t>
      </w:r>
      <w:proofErr w:type="spellEnd"/>
      <w:r w:rsidR="00A72A46" w:rsidRPr="00035126">
        <w:rPr>
          <w:rFonts w:ascii="Times New Roman" w:hAnsi="Times New Roman" w:cs="Times New Roman"/>
          <w:sz w:val="24"/>
          <w:szCs w:val="24"/>
        </w:rPr>
        <w:t xml:space="preserve">, 1994; </w:t>
      </w:r>
      <w:proofErr w:type="spellStart"/>
      <w:r w:rsidR="00A72A46" w:rsidRPr="00035126">
        <w:rPr>
          <w:rFonts w:ascii="Times New Roman" w:hAnsi="Times New Roman" w:cs="Times New Roman"/>
          <w:sz w:val="24"/>
          <w:szCs w:val="24"/>
        </w:rPr>
        <w:t>Fernagu-Oudet</w:t>
      </w:r>
      <w:proofErr w:type="spellEnd"/>
      <w:r w:rsidR="00A72A46" w:rsidRPr="00035126">
        <w:rPr>
          <w:rFonts w:ascii="Times New Roman" w:hAnsi="Times New Roman" w:cs="Times New Roman"/>
          <w:sz w:val="24"/>
          <w:szCs w:val="24"/>
        </w:rPr>
        <w:t>, 2001; Le Boterf</w:t>
      </w:r>
      <w:r w:rsidR="00A72A46" w:rsidRPr="00EA27FF">
        <w:rPr>
          <w:rFonts w:ascii="Times New Roman" w:hAnsi="Times New Roman" w:cs="Times New Roman"/>
          <w:sz w:val="24"/>
          <w:szCs w:val="24"/>
        </w:rPr>
        <w:t xml:space="preserve">, 1999; 2001, 2018; Morier 2001; Parlier, 1997; </w:t>
      </w:r>
      <w:proofErr w:type="spellStart"/>
      <w:r w:rsidR="00A72A46" w:rsidRPr="00EA27FF">
        <w:rPr>
          <w:rFonts w:ascii="Times New Roman" w:hAnsi="Times New Roman" w:cs="Times New Roman"/>
          <w:sz w:val="24"/>
          <w:szCs w:val="24"/>
        </w:rPr>
        <w:t>Ruano-Borbolan</w:t>
      </w:r>
      <w:proofErr w:type="spellEnd"/>
      <w:r w:rsidR="00A72A46" w:rsidRPr="00EA27FF">
        <w:rPr>
          <w:rFonts w:ascii="Times New Roman" w:hAnsi="Times New Roman" w:cs="Times New Roman"/>
          <w:sz w:val="24"/>
          <w:szCs w:val="24"/>
        </w:rPr>
        <w:t>, 2000). Ces ressources peuvent être de divers ordres. C’est dans les ressources que l’on va placer les connaissances, les savoirs. Il n’y a donc pas d’incompatibilité épistémologique entre cette approche par compétences et une approche par connaissances, à condition d’en comprendre les liens logiques</w:t>
      </w:r>
      <w:r w:rsidR="00A72A46">
        <w:rPr>
          <w:rFonts w:ascii="Times New Roman" w:hAnsi="Times New Roman" w:cs="Times New Roman"/>
          <w:sz w:val="24"/>
          <w:szCs w:val="24"/>
        </w:rPr>
        <w:t xml:space="preserve"> et de ne pas tout mélanger</w:t>
      </w:r>
      <w:r w:rsidR="00A72A46" w:rsidRPr="00EA27FF">
        <w:rPr>
          <w:rFonts w:ascii="Times New Roman" w:hAnsi="Times New Roman" w:cs="Times New Roman"/>
          <w:sz w:val="24"/>
          <w:szCs w:val="24"/>
        </w:rPr>
        <w:t>.</w:t>
      </w:r>
    </w:p>
    <w:p w14:paraId="7DD6DE96" w14:textId="77777777" w:rsidR="00F03D8D" w:rsidRDefault="00F03D8D" w:rsidP="00F03D8D">
      <w:pPr>
        <w:spacing w:after="0" w:line="360" w:lineRule="auto"/>
        <w:jc w:val="both"/>
        <w:rPr>
          <w:rFonts w:ascii="Times New Roman" w:hAnsi="Times New Roman" w:cs="Times New Roman"/>
          <w:b/>
          <w:sz w:val="24"/>
          <w:szCs w:val="24"/>
        </w:rPr>
      </w:pPr>
    </w:p>
    <w:p w14:paraId="6E296934" w14:textId="1DB0C998" w:rsidR="00A72A46" w:rsidRPr="00035126" w:rsidRDefault="007F39F8" w:rsidP="00F03D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00A72A46" w:rsidRPr="004E6F38">
        <w:rPr>
          <w:rFonts w:ascii="Times New Roman" w:hAnsi="Times New Roman" w:cs="Times New Roman"/>
          <w:b/>
          <w:sz w:val="24"/>
          <w:szCs w:val="24"/>
        </w:rPr>
        <w:t xml:space="preserve">. L’action est toujours située dans un contexte, un </w:t>
      </w:r>
      <w:r w:rsidR="00A72A46" w:rsidRPr="00035126">
        <w:rPr>
          <w:rFonts w:ascii="Times New Roman" w:hAnsi="Times New Roman" w:cs="Times New Roman"/>
          <w:b/>
          <w:sz w:val="24"/>
          <w:szCs w:val="24"/>
        </w:rPr>
        <w:t>environnement.</w:t>
      </w:r>
      <w:r w:rsidR="00A72A46" w:rsidRPr="00035126">
        <w:rPr>
          <w:rFonts w:ascii="Times New Roman" w:hAnsi="Times New Roman" w:cs="Times New Roman"/>
          <w:sz w:val="24"/>
          <w:szCs w:val="24"/>
        </w:rPr>
        <w:t xml:space="preserve"> </w:t>
      </w:r>
      <w:r w:rsidR="00E515D6" w:rsidRPr="00035126">
        <w:rPr>
          <w:rFonts w:ascii="Times New Roman" w:hAnsi="Times New Roman" w:cs="Times New Roman"/>
          <w:sz w:val="24"/>
          <w:szCs w:val="24"/>
        </w:rPr>
        <w:t>La compétence est une action « sur » un environnement, « sur » un contexte, « sur » une situation</w:t>
      </w:r>
      <w:r w:rsidR="00F03D8D">
        <w:rPr>
          <w:rFonts w:ascii="Times New Roman" w:hAnsi="Times New Roman" w:cs="Times New Roman"/>
          <w:sz w:val="24"/>
          <w:szCs w:val="24"/>
        </w:rPr>
        <w:t xml:space="preserve"> (</w:t>
      </w:r>
      <w:proofErr w:type="spellStart"/>
      <w:r w:rsidR="00D6134C">
        <w:rPr>
          <w:rFonts w:ascii="Times New Roman" w:hAnsi="Times New Roman" w:cs="Times New Roman"/>
          <w:sz w:val="24"/>
          <w:szCs w:val="24"/>
        </w:rPr>
        <w:t>Masciotra</w:t>
      </w:r>
      <w:proofErr w:type="spellEnd"/>
      <w:r w:rsidR="00D6134C">
        <w:rPr>
          <w:rFonts w:ascii="Times New Roman" w:hAnsi="Times New Roman" w:cs="Times New Roman"/>
          <w:sz w:val="24"/>
          <w:szCs w:val="24"/>
        </w:rPr>
        <w:t xml:space="preserve">, 2010; </w:t>
      </w:r>
      <w:proofErr w:type="spellStart"/>
      <w:r w:rsidR="00F03D8D" w:rsidRPr="00EA27FF">
        <w:rPr>
          <w:rFonts w:ascii="Times New Roman" w:hAnsi="Times New Roman" w:cs="Times New Roman"/>
          <w:sz w:val="24"/>
          <w:szCs w:val="24"/>
        </w:rPr>
        <w:t>Masciotra</w:t>
      </w:r>
      <w:proofErr w:type="spellEnd"/>
      <w:r w:rsidR="00F03D8D" w:rsidRPr="00EA27FF">
        <w:rPr>
          <w:rFonts w:ascii="Times New Roman" w:hAnsi="Times New Roman" w:cs="Times New Roman"/>
          <w:sz w:val="24"/>
          <w:szCs w:val="24"/>
        </w:rPr>
        <w:t xml:space="preserve"> &amp; </w:t>
      </w:r>
      <w:proofErr w:type="spellStart"/>
      <w:r w:rsidR="00F03D8D" w:rsidRPr="00EA27FF">
        <w:rPr>
          <w:rFonts w:ascii="Times New Roman" w:hAnsi="Times New Roman" w:cs="Times New Roman"/>
          <w:sz w:val="24"/>
          <w:szCs w:val="24"/>
        </w:rPr>
        <w:t>Medzo</w:t>
      </w:r>
      <w:proofErr w:type="spellEnd"/>
      <w:r w:rsidR="00F03D8D" w:rsidRPr="00EA27FF">
        <w:rPr>
          <w:rFonts w:ascii="Times New Roman" w:hAnsi="Times New Roman" w:cs="Times New Roman"/>
          <w:sz w:val="24"/>
          <w:szCs w:val="24"/>
        </w:rPr>
        <w:t>, 2009)</w:t>
      </w:r>
      <w:r w:rsidR="00E515D6" w:rsidRPr="00035126">
        <w:rPr>
          <w:rFonts w:ascii="Times New Roman" w:hAnsi="Times New Roman" w:cs="Times New Roman"/>
          <w:sz w:val="24"/>
          <w:szCs w:val="24"/>
        </w:rPr>
        <w:t xml:space="preserve">. Bien que chaque situation ait un caractère irréductiblement unique, elle appartient à une famille de situations. </w:t>
      </w:r>
      <w:r w:rsidR="00035126" w:rsidRPr="00035126">
        <w:rPr>
          <w:rFonts w:ascii="Times New Roman" w:hAnsi="Times New Roman" w:cs="Times New Roman"/>
          <w:sz w:val="24"/>
          <w:szCs w:val="24"/>
        </w:rPr>
        <w:t xml:space="preserve">C’est dans cette famille de situations que la compétence se développe. </w:t>
      </w:r>
      <w:r w:rsidR="00A72A46" w:rsidRPr="00035126">
        <w:rPr>
          <w:rFonts w:ascii="Times New Roman" w:hAnsi="Times New Roman" w:cs="Times New Roman"/>
          <w:sz w:val="24"/>
          <w:szCs w:val="24"/>
        </w:rPr>
        <w:t xml:space="preserve">Il est donc difficile de parler de compétences transversales lorsqu’on définit la compétence comme une action. </w:t>
      </w:r>
      <w:r w:rsidR="00D34099" w:rsidRPr="00035126">
        <w:rPr>
          <w:rFonts w:ascii="Times New Roman" w:hAnsi="Times New Roman" w:cs="Times New Roman"/>
          <w:sz w:val="24"/>
          <w:szCs w:val="24"/>
        </w:rPr>
        <w:t xml:space="preserve">Par contre, on peut regrouper des compétences spécifiques ou particulières dans des catégories plus larges ou plus générales. </w:t>
      </w:r>
    </w:p>
    <w:p w14:paraId="4A1ABCEE" w14:textId="77777777" w:rsidR="00F03D8D" w:rsidRDefault="00F03D8D" w:rsidP="00F03D8D">
      <w:pPr>
        <w:spacing w:after="0" w:line="360" w:lineRule="auto"/>
        <w:jc w:val="both"/>
        <w:rPr>
          <w:rFonts w:ascii="Times New Roman" w:hAnsi="Times New Roman" w:cs="Times New Roman"/>
          <w:sz w:val="24"/>
          <w:szCs w:val="24"/>
        </w:rPr>
      </w:pPr>
    </w:p>
    <w:p w14:paraId="45B5D2F2" w14:textId="37260F03" w:rsidR="00A72A46" w:rsidRDefault="007F39F8" w:rsidP="00F03D8D">
      <w:pPr>
        <w:spacing w:after="0" w:line="360" w:lineRule="auto"/>
        <w:jc w:val="both"/>
        <w:rPr>
          <w:rFonts w:ascii="Times New Roman" w:hAnsi="Times New Roman" w:cs="Times New Roman"/>
          <w:sz w:val="24"/>
          <w:szCs w:val="24"/>
        </w:rPr>
      </w:pPr>
      <w:r w:rsidRPr="00F03D8D">
        <w:rPr>
          <w:rFonts w:ascii="Times New Roman" w:hAnsi="Times New Roman" w:cs="Times New Roman"/>
          <w:b/>
          <w:sz w:val="24"/>
          <w:szCs w:val="24"/>
        </w:rPr>
        <w:t>6</w:t>
      </w:r>
      <w:r w:rsidR="00A72A46" w:rsidRPr="00F03D8D">
        <w:rPr>
          <w:rFonts w:ascii="Times New Roman" w:hAnsi="Times New Roman" w:cs="Times New Roman"/>
          <w:b/>
          <w:sz w:val="24"/>
          <w:szCs w:val="24"/>
        </w:rPr>
        <w:t>.</w:t>
      </w:r>
      <w:r w:rsidR="00A72A46" w:rsidRPr="00035126">
        <w:rPr>
          <w:rFonts w:ascii="Times New Roman" w:hAnsi="Times New Roman" w:cs="Times New Roman"/>
          <w:sz w:val="24"/>
          <w:szCs w:val="24"/>
        </w:rPr>
        <w:t xml:space="preserve"> Dans cette conception de la compétence comme une action mobilisatrice de ressources diverses</w:t>
      </w:r>
      <w:r w:rsidR="00A72A46" w:rsidRPr="00EA27FF">
        <w:rPr>
          <w:rFonts w:ascii="Times New Roman" w:hAnsi="Times New Roman" w:cs="Times New Roman"/>
          <w:sz w:val="24"/>
          <w:szCs w:val="24"/>
        </w:rPr>
        <w:t xml:space="preserve">, on conçoit logiquement que </w:t>
      </w:r>
      <w:r w:rsidR="00A72A46" w:rsidRPr="00005AC5">
        <w:rPr>
          <w:rFonts w:ascii="Times New Roman" w:hAnsi="Times New Roman" w:cs="Times New Roman"/>
          <w:b/>
          <w:sz w:val="24"/>
          <w:szCs w:val="24"/>
        </w:rPr>
        <w:t>la pédagogie en cohérence avec cette conception</w:t>
      </w:r>
      <w:r w:rsidR="00A72A46" w:rsidRPr="00EA27FF">
        <w:rPr>
          <w:rFonts w:ascii="Times New Roman" w:hAnsi="Times New Roman" w:cs="Times New Roman"/>
          <w:sz w:val="24"/>
          <w:szCs w:val="24"/>
        </w:rPr>
        <w:t xml:space="preserve"> sera en lien avec l’approche de l’apprentissage expérientiel et l’approche de la pratique guidée (</w:t>
      </w:r>
      <w:proofErr w:type="spellStart"/>
      <w:r w:rsidR="00A72A46" w:rsidRPr="00EA27FF">
        <w:rPr>
          <w:rFonts w:ascii="Times New Roman" w:hAnsi="Times New Roman" w:cs="Times New Roman"/>
          <w:sz w:val="24"/>
          <w:szCs w:val="24"/>
        </w:rPr>
        <w:t>Altet</w:t>
      </w:r>
      <w:proofErr w:type="spellEnd"/>
      <w:r w:rsidR="00A72A46" w:rsidRPr="00EA27FF">
        <w:rPr>
          <w:rFonts w:ascii="Times New Roman" w:hAnsi="Times New Roman" w:cs="Times New Roman"/>
          <w:sz w:val="24"/>
          <w:szCs w:val="24"/>
        </w:rPr>
        <w:t xml:space="preserve">, 1998; Bélair, 2001; </w:t>
      </w:r>
      <w:proofErr w:type="spellStart"/>
      <w:r w:rsidR="00A72A46" w:rsidRPr="00EA27FF">
        <w:rPr>
          <w:rFonts w:ascii="Times New Roman" w:hAnsi="Times New Roman" w:cs="Times New Roman"/>
          <w:sz w:val="24"/>
          <w:szCs w:val="24"/>
        </w:rPr>
        <w:t>Colardyn</w:t>
      </w:r>
      <w:proofErr w:type="spellEnd"/>
      <w:r w:rsidR="00A72A46" w:rsidRPr="00EA27FF">
        <w:rPr>
          <w:rFonts w:ascii="Times New Roman" w:hAnsi="Times New Roman" w:cs="Times New Roman"/>
          <w:sz w:val="24"/>
          <w:szCs w:val="24"/>
        </w:rPr>
        <w:t xml:space="preserve">, 1998; </w:t>
      </w:r>
      <w:proofErr w:type="spellStart"/>
      <w:r w:rsidR="00A72A46" w:rsidRPr="00EA27FF">
        <w:rPr>
          <w:rFonts w:ascii="Times New Roman" w:hAnsi="Times New Roman" w:cs="Times New Roman"/>
          <w:sz w:val="24"/>
          <w:szCs w:val="24"/>
        </w:rPr>
        <w:t>Faingold</w:t>
      </w:r>
      <w:proofErr w:type="spellEnd"/>
      <w:r w:rsidR="00A72A46" w:rsidRPr="00EA27FF">
        <w:rPr>
          <w:rFonts w:ascii="Times New Roman" w:hAnsi="Times New Roman" w:cs="Times New Roman"/>
          <w:sz w:val="24"/>
          <w:szCs w:val="24"/>
        </w:rPr>
        <w:t xml:space="preserve">, 2001; Parlier, 1999). Ainsi, les stratégies </w:t>
      </w:r>
      <w:r w:rsidR="00A72A46">
        <w:rPr>
          <w:rFonts w:ascii="Times New Roman" w:hAnsi="Times New Roman" w:cs="Times New Roman"/>
          <w:sz w:val="24"/>
          <w:szCs w:val="24"/>
        </w:rPr>
        <w:t>d’apprentissage associées seront en général de l’ordre d’une pratique</w:t>
      </w:r>
      <w:r w:rsidR="00A72A46" w:rsidRPr="00EA27FF">
        <w:rPr>
          <w:rFonts w:ascii="Times New Roman" w:hAnsi="Times New Roman" w:cs="Times New Roman"/>
          <w:sz w:val="24"/>
          <w:szCs w:val="24"/>
        </w:rPr>
        <w:t xml:space="preserve">, par exemple, </w:t>
      </w:r>
      <w:r w:rsidR="00A72A46">
        <w:rPr>
          <w:rFonts w:ascii="Times New Roman" w:hAnsi="Times New Roman" w:cs="Times New Roman"/>
          <w:sz w:val="24"/>
          <w:szCs w:val="24"/>
        </w:rPr>
        <w:t xml:space="preserve">les exercices de résolution de problèmes, </w:t>
      </w:r>
      <w:r w:rsidR="00A72A46" w:rsidRPr="00EA27FF">
        <w:rPr>
          <w:rFonts w:ascii="Times New Roman" w:hAnsi="Times New Roman" w:cs="Times New Roman"/>
          <w:sz w:val="24"/>
          <w:szCs w:val="24"/>
        </w:rPr>
        <w:t xml:space="preserve">la formation par l’action, les mises en situation, la contextualisation, les simulations, les stages en milieu de travail, etc. (Allal, 2002; </w:t>
      </w:r>
      <w:proofErr w:type="spellStart"/>
      <w:r w:rsidR="00A72A46" w:rsidRPr="00EA27FF">
        <w:rPr>
          <w:rFonts w:ascii="Times New Roman" w:hAnsi="Times New Roman" w:cs="Times New Roman"/>
          <w:sz w:val="24"/>
          <w:szCs w:val="24"/>
        </w:rPr>
        <w:t>Barkatoolah</w:t>
      </w:r>
      <w:proofErr w:type="spellEnd"/>
      <w:r w:rsidR="00A72A46" w:rsidRPr="00EA27FF">
        <w:rPr>
          <w:rFonts w:ascii="Times New Roman" w:hAnsi="Times New Roman" w:cs="Times New Roman"/>
          <w:sz w:val="24"/>
          <w:szCs w:val="24"/>
        </w:rPr>
        <w:t xml:space="preserve">, 2000; Bellier, 1999; Clot, 2001; </w:t>
      </w:r>
      <w:proofErr w:type="spellStart"/>
      <w:r w:rsidR="00A72A46" w:rsidRPr="00EA27FF">
        <w:rPr>
          <w:rFonts w:ascii="Times New Roman" w:hAnsi="Times New Roman" w:cs="Times New Roman"/>
          <w:sz w:val="24"/>
          <w:szCs w:val="24"/>
        </w:rPr>
        <w:t>Jonnaert</w:t>
      </w:r>
      <w:proofErr w:type="spellEnd"/>
      <w:r w:rsidR="00A72A46" w:rsidRPr="00EA27FF">
        <w:rPr>
          <w:rFonts w:ascii="Times New Roman" w:hAnsi="Times New Roman" w:cs="Times New Roman"/>
          <w:sz w:val="24"/>
          <w:szCs w:val="24"/>
        </w:rPr>
        <w:t xml:space="preserve">, 2002; Lemoine, 2002; </w:t>
      </w:r>
      <w:proofErr w:type="spellStart"/>
      <w:r w:rsidR="00A72A46" w:rsidRPr="00EA27FF">
        <w:rPr>
          <w:rFonts w:ascii="Times New Roman" w:hAnsi="Times New Roman" w:cs="Times New Roman"/>
          <w:sz w:val="24"/>
          <w:szCs w:val="24"/>
        </w:rPr>
        <w:t>Paquay</w:t>
      </w:r>
      <w:proofErr w:type="spellEnd"/>
      <w:r w:rsidR="00A72A46" w:rsidRPr="00EA27FF">
        <w:rPr>
          <w:rFonts w:ascii="Times New Roman" w:hAnsi="Times New Roman" w:cs="Times New Roman"/>
          <w:sz w:val="24"/>
          <w:szCs w:val="24"/>
        </w:rPr>
        <w:t xml:space="preserve">, 2000; Romainville et al., 1997; </w:t>
      </w:r>
      <w:proofErr w:type="spellStart"/>
      <w:r w:rsidR="00A72A46" w:rsidRPr="00EA27FF">
        <w:rPr>
          <w:rFonts w:ascii="Times New Roman" w:hAnsi="Times New Roman" w:cs="Times New Roman"/>
          <w:sz w:val="24"/>
          <w:szCs w:val="24"/>
        </w:rPr>
        <w:t>Wittorski</w:t>
      </w:r>
      <w:proofErr w:type="spellEnd"/>
      <w:r w:rsidR="00A72A46" w:rsidRPr="00EA27FF">
        <w:rPr>
          <w:rFonts w:ascii="Times New Roman" w:hAnsi="Times New Roman" w:cs="Times New Roman"/>
          <w:sz w:val="24"/>
          <w:szCs w:val="24"/>
        </w:rPr>
        <w:t>, 2000; Zarifian, 2001).</w:t>
      </w:r>
    </w:p>
    <w:p w14:paraId="6219691D" w14:textId="77777777" w:rsidR="00F03D8D" w:rsidRDefault="00F03D8D" w:rsidP="00F03D8D">
      <w:pPr>
        <w:spacing w:after="0" w:line="360" w:lineRule="auto"/>
        <w:jc w:val="both"/>
        <w:rPr>
          <w:rFonts w:ascii="Times New Roman" w:hAnsi="Times New Roman" w:cs="Times New Roman"/>
          <w:b/>
          <w:sz w:val="24"/>
          <w:szCs w:val="24"/>
        </w:rPr>
      </w:pPr>
    </w:p>
    <w:p w14:paraId="6CDE9FFD" w14:textId="7ECEE44D" w:rsidR="00A72A46" w:rsidRDefault="007F39F8" w:rsidP="00F03D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005AC5" w:rsidRPr="00005AC5">
        <w:rPr>
          <w:rFonts w:ascii="Times New Roman" w:hAnsi="Times New Roman" w:cs="Times New Roman"/>
          <w:b/>
          <w:sz w:val="24"/>
          <w:szCs w:val="24"/>
        </w:rPr>
        <w:t>. La programmation pédagogique en APC</w:t>
      </w:r>
      <w:r w:rsidR="00005AC5">
        <w:rPr>
          <w:rFonts w:ascii="Times New Roman" w:hAnsi="Times New Roman" w:cs="Times New Roman"/>
          <w:sz w:val="24"/>
          <w:szCs w:val="24"/>
        </w:rPr>
        <w:t xml:space="preserve">. </w:t>
      </w:r>
      <w:r w:rsidR="00A72A46">
        <w:rPr>
          <w:rFonts w:ascii="Times New Roman" w:hAnsi="Times New Roman" w:cs="Times New Roman"/>
          <w:sz w:val="24"/>
          <w:szCs w:val="24"/>
        </w:rPr>
        <w:t>Dans une APC, il est recommandé de déterminer les compétences à développer dans chacun des programmes et dans chacune des activités, et de les formuler en termes d’action concrètes ayant une dimension observable précise.</w:t>
      </w:r>
    </w:p>
    <w:p w14:paraId="33ACA120" w14:textId="77777777" w:rsidR="00A72A46"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Il faut aussi préciser les </w:t>
      </w:r>
      <w:r w:rsidRPr="00CD33AA">
        <w:rPr>
          <w:rFonts w:ascii="Times New Roman" w:hAnsi="Times New Roman" w:cs="Times New Roman"/>
          <w:sz w:val="24"/>
          <w:szCs w:val="24"/>
        </w:rPr>
        <w:t>trajectoires de développement</w:t>
      </w:r>
      <w:r w:rsidRPr="00EA27FF">
        <w:rPr>
          <w:rFonts w:ascii="Times New Roman" w:hAnsi="Times New Roman" w:cs="Times New Roman"/>
          <w:sz w:val="24"/>
          <w:szCs w:val="24"/>
        </w:rPr>
        <w:t xml:space="preserve"> des compétences, c’est-à-dire décrire la compétence telle qu’on s’attend à ce qu’elle soit développée au terme de la formation (indicateurs </w:t>
      </w:r>
      <w:r w:rsidRPr="009B5EBB">
        <w:rPr>
          <w:rFonts w:ascii="Times New Roman" w:hAnsi="Times New Roman" w:cs="Times New Roman"/>
          <w:sz w:val="24"/>
          <w:szCs w:val="24"/>
        </w:rPr>
        <w:t>observables terminaux) et déterminer des stades de développement avec des indicateurs observables pour chacun des stades.</w:t>
      </w:r>
    </w:p>
    <w:p w14:paraId="00AE17FA" w14:textId="77777777" w:rsidR="00A72A46" w:rsidRPr="00EA27FF"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prévoira aussi </w:t>
      </w:r>
      <w:r w:rsidRPr="00EA27FF">
        <w:rPr>
          <w:rFonts w:ascii="Times New Roman" w:hAnsi="Times New Roman" w:cs="Times New Roman"/>
          <w:sz w:val="24"/>
          <w:szCs w:val="24"/>
        </w:rPr>
        <w:t>des activités de formation à la pratique réflexive et des activités de prise de conscience de la réflexion imbriquée dans l’action-compétence.</w:t>
      </w:r>
    </w:p>
    <w:p w14:paraId="31DA9302" w14:textId="77777777" w:rsidR="00A72A46"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ce qui concerne la définition de </w:t>
      </w:r>
      <w:r w:rsidRPr="00EA27FF">
        <w:rPr>
          <w:rFonts w:ascii="Times New Roman" w:hAnsi="Times New Roman" w:cs="Times New Roman"/>
          <w:sz w:val="24"/>
          <w:szCs w:val="24"/>
        </w:rPr>
        <w:t>la compétence comme une mobilisation</w:t>
      </w:r>
      <w:r>
        <w:rPr>
          <w:rFonts w:ascii="Times New Roman" w:hAnsi="Times New Roman" w:cs="Times New Roman"/>
          <w:sz w:val="24"/>
          <w:szCs w:val="24"/>
        </w:rPr>
        <w:t xml:space="preserve">, il faut </w:t>
      </w:r>
      <w:r w:rsidRPr="00EA27FF">
        <w:rPr>
          <w:rFonts w:ascii="Times New Roman" w:hAnsi="Times New Roman" w:cs="Times New Roman"/>
          <w:sz w:val="24"/>
          <w:szCs w:val="24"/>
        </w:rPr>
        <w:t xml:space="preserve">que la formation inclut des </w:t>
      </w:r>
      <w:r w:rsidRPr="009B5EBB">
        <w:rPr>
          <w:rFonts w:ascii="Times New Roman" w:hAnsi="Times New Roman" w:cs="Times New Roman"/>
          <w:sz w:val="24"/>
          <w:szCs w:val="24"/>
        </w:rPr>
        <w:t xml:space="preserve">mécanismes pour apprendre par cette mobilisation et non par l’acquisition </w:t>
      </w:r>
      <w:r>
        <w:rPr>
          <w:rFonts w:ascii="Times New Roman" w:hAnsi="Times New Roman" w:cs="Times New Roman"/>
          <w:sz w:val="24"/>
          <w:szCs w:val="24"/>
        </w:rPr>
        <w:t xml:space="preserve">décontextualisée </w:t>
      </w:r>
      <w:r w:rsidRPr="009B5EBB">
        <w:rPr>
          <w:rFonts w:ascii="Times New Roman" w:hAnsi="Times New Roman" w:cs="Times New Roman"/>
          <w:sz w:val="24"/>
          <w:szCs w:val="24"/>
        </w:rPr>
        <w:t>des ressources.</w:t>
      </w:r>
    </w:p>
    <w:p w14:paraId="29468E9E" w14:textId="78D52C4A" w:rsidR="00A72A46" w:rsidRDefault="00A72A46" w:rsidP="00F03D8D">
      <w:pPr>
        <w:spacing w:after="0" w:line="360" w:lineRule="auto"/>
        <w:jc w:val="both"/>
        <w:rPr>
          <w:rFonts w:ascii="Times New Roman" w:hAnsi="Times New Roman" w:cs="Times New Roman"/>
          <w:sz w:val="24"/>
          <w:szCs w:val="24"/>
        </w:rPr>
      </w:pPr>
      <w:r w:rsidRPr="00EA27FF">
        <w:rPr>
          <w:rFonts w:ascii="Times New Roman" w:hAnsi="Times New Roman" w:cs="Times New Roman"/>
          <w:sz w:val="24"/>
          <w:szCs w:val="24"/>
        </w:rPr>
        <w:t xml:space="preserve">La mobilisation suppose une compréhension, un jugement et une </w:t>
      </w:r>
      <w:r>
        <w:rPr>
          <w:rFonts w:ascii="Times New Roman" w:hAnsi="Times New Roman" w:cs="Times New Roman"/>
          <w:sz w:val="24"/>
          <w:szCs w:val="24"/>
        </w:rPr>
        <w:t xml:space="preserve">certaine </w:t>
      </w:r>
      <w:r w:rsidRPr="00EA27FF">
        <w:rPr>
          <w:rFonts w:ascii="Times New Roman" w:hAnsi="Times New Roman" w:cs="Times New Roman"/>
          <w:sz w:val="24"/>
          <w:szCs w:val="24"/>
        </w:rPr>
        <w:t xml:space="preserve">rétention intelligente </w:t>
      </w:r>
      <w:r w:rsidRPr="009B5EBB">
        <w:rPr>
          <w:rFonts w:ascii="Times New Roman" w:hAnsi="Times New Roman" w:cs="Times New Roman"/>
          <w:sz w:val="24"/>
          <w:szCs w:val="24"/>
        </w:rPr>
        <w:t>des ressources. Il faut donc, dans la formation, que les ressources soient mobilisées dans l’action qui est toujou</w:t>
      </w:r>
      <w:r>
        <w:rPr>
          <w:rFonts w:ascii="Times New Roman" w:hAnsi="Times New Roman" w:cs="Times New Roman"/>
          <w:sz w:val="24"/>
          <w:szCs w:val="24"/>
        </w:rPr>
        <w:t>r</w:t>
      </w:r>
      <w:r w:rsidRPr="009B5EBB">
        <w:rPr>
          <w:rFonts w:ascii="Times New Roman" w:hAnsi="Times New Roman" w:cs="Times New Roman"/>
          <w:sz w:val="24"/>
          <w:szCs w:val="24"/>
        </w:rPr>
        <w:t>s située concrètement. Le</w:t>
      </w:r>
      <w:r w:rsidRPr="00EA27FF">
        <w:rPr>
          <w:rFonts w:ascii="Times New Roman" w:hAnsi="Times New Roman" w:cs="Times New Roman"/>
          <w:sz w:val="24"/>
          <w:szCs w:val="24"/>
        </w:rPr>
        <w:t xml:space="preserve"> processus de mobilisation lui-même est un processus complexe qui implique une sélection parmi l’ensemble des ressources acquises</w:t>
      </w:r>
      <w:r w:rsidR="00FF160A">
        <w:rPr>
          <w:rFonts w:ascii="Times New Roman" w:hAnsi="Times New Roman" w:cs="Times New Roman"/>
          <w:sz w:val="24"/>
          <w:szCs w:val="24"/>
        </w:rPr>
        <w:t xml:space="preserve"> et disponibles</w:t>
      </w:r>
      <w:r w:rsidRPr="00EA27FF">
        <w:rPr>
          <w:rFonts w:ascii="Times New Roman" w:hAnsi="Times New Roman" w:cs="Times New Roman"/>
          <w:sz w:val="24"/>
          <w:szCs w:val="24"/>
        </w:rPr>
        <w:t xml:space="preserve">. Cette sélection ne </w:t>
      </w:r>
      <w:r w:rsidRPr="00EA27FF">
        <w:rPr>
          <w:rFonts w:ascii="Times New Roman" w:hAnsi="Times New Roman" w:cs="Times New Roman"/>
          <w:sz w:val="24"/>
          <w:szCs w:val="24"/>
        </w:rPr>
        <w:lastRenderedPageBreak/>
        <w:t>se fait pas comme une simple application ou un simple recours à des savoirs entreposés mais se fait plutôt dans une opération de combinaison des ressources sélectionnées</w:t>
      </w:r>
      <w:r>
        <w:rPr>
          <w:rFonts w:ascii="Times New Roman" w:hAnsi="Times New Roman" w:cs="Times New Roman"/>
          <w:sz w:val="24"/>
          <w:szCs w:val="24"/>
        </w:rPr>
        <w:t xml:space="preserve">. </w:t>
      </w:r>
      <w:r w:rsidRPr="00EA27FF">
        <w:rPr>
          <w:rFonts w:ascii="Times New Roman" w:hAnsi="Times New Roman" w:cs="Times New Roman"/>
          <w:sz w:val="24"/>
          <w:szCs w:val="24"/>
        </w:rPr>
        <w:t>De plus, la mobilisation des ressources se fait de manière adaptée au contexte de la situation et selon un processus d’intégration et de coordination des différentes ressources</w:t>
      </w:r>
      <w:r>
        <w:rPr>
          <w:rFonts w:ascii="Times New Roman" w:hAnsi="Times New Roman" w:cs="Times New Roman"/>
          <w:sz w:val="24"/>
          <w:szCs w:val="24"/>
        </w:rPr>
        <w:t xml:space="preserve"> (internes et externes)</w:t>
      </w:r>
      <w:r w:rsidRPr="00EA27FF">
        <w:rPr>
          <w:rFonts w:ascii="Times New Roman" w:hAnsi="Times New Roman" w:cs="Times New Roman"/>
          <w:sz w:val="24"/>
          <w:szCs w:val="24"/>
        </w:rPr>
        <w:t xml:space="preserve">, ces ressources n’étant pas simplement </w:t>
      </w:r>
      <w:r>
        <w:rPr>
          <w:rFonts w:ascii="Times New Roman" w:hAnsi="Times New Roman" w:cs="Times New Roman"/>
          <w:sz w:val="24"/>
          <w:szCs w:val="24"/>
        </w:rPr>
        <w:t>« </w:t>
      </w:r>
      <w:r w:rsidRPr="00EA27FF">
        <w:rPr>
          <w:rFonts w:ascii="Times New Roman" w:hAnsi="Times New Roman" w:cs="Times New Roman"/>
          <w:sz w:val="24"/>
          <w:szCs w:val="24"/>
        </w:rPr>
        <w:t>additionnées</w:t>
      </w:r>
      <w:r>
        <w:rPr>
          <w:rFonts w:ascii="Times New Roman" w:hAnsi="Times New Roman" w:cs="Times New Roman"/>
          <w:sz w:val="24"/>
          <w:szCs w:val="24"/>
        </w:rPr>
        <w:t> </w:t>
      </w:r>
      <w:r w:rsidRPr="00EA27FF">
        <w:rPr>
          <w:rFonts w:ascii="Times New Roman" w:hAnsi="Times New Roman" w:cs="Times New Roman"/>
          <w:sz w:val="24"/>
          <w:szCs w:val="24"/>
        </w:rPr>
        <w:t xml:space="preserve">» </w:t>
      </w:r>
      <w:r w:rsidRPr="00EA27FF">
        <w:rPr>
          <w:rStyle w:val="Appelnotedebasdep"/>
          <w:rFonts w:ascii="Times New Roman" w:hAnsi="Times New Roman" w:cs="Times New Roman"/>
          <w:sz w:val="24"/>
          <w:szCs w:val="24"/>
        </w:rPr>
        <w:footnoteReference w:id="1"/>
      </w:r>
      <w:r w:rsidRPr="00EA27FF">
        <w:rPr>
          <w:rFonts w:ascii="Times New Roman" w:hAnsi="Times New Roman" w:cs="Times New Roman"/>
          <w:sz w:val="24"/>
          <w:szCs w:val="24"/>
        </w:rPr>
        <w:t>dans un répertoire mais étant «</w:t>
      </w:r>
      <w:r>
        <w:rPr>
          <w:rFonts w:ascii="Times New Roman" w:hAnsi="Times New Roman" w:cs="Times New Roman"/>
          <w:sz w:val="24"/>
          <w:szCs w:val="24"/>
        </w:rPr>
        <w:t> </w:t>
      </w:r>
      <w:r w:rsidRPr="00EA27FF">
        <w:rPr>
          <w:rFonts w:ascii="Times New Roman" w:hAnsi="Times New Roman" w:cs="Times New Roman"/>
          <w:sz w:val="24"/>
          <w:szCs w:val="24"/>
        </w:rPr>
        <w:t>organisées</w:t>
      </w:r>
      <w:r>
        <w:rPr>
          <w:rFonts w:ascii="Times New Roman" w:hAnsi="Times New Roman" w:cs="Times New Roman"/>
          <w:sz w:val="24"/>
          <w:szCs w:val="24"/>
        </w:rPr>
        <w:t> </w:t>
      </w:r>
      <w:r w:rsidRPr="00EA27FF">
        <w:rPr>
          <w:rFonts w:ascii="Times New Roman" w:hAnsi="Times New Roman" w:cs="Times New Roman"/>
          <w:sz w:val="24"/>
          <w:szCs w:val="24"/>
        </w:rPr>
        <w:t>» en structures, en réseaux, en schèmes opératoires ou en «</w:t>
      </w:r>
      <w:r>
        <w:rPr>
          <w:rFonts w:ascii="Times New Roman" w:hAnsi="Times New Roman" w:cs="Times New Roman"/>
          <w:sz w:val="24"/>
          <w:szCs w:val="24"/>
        </w:rPr>
        <w:t> </w:t>
      </w:r>
      <w:r w:rsidRPr="00EA27FF">
        <w:rPr>
          <w:rFonts w:ascii="Times New Roman" w:hAnsi="Times New Roman" w:cs="Times New Roman"/>
          <w:sz w:val="24"/>
          <w:szCs w:val="24"/>
        </w:rPr>
        <w:t>architecture</w:t>
      </w:r>
      <w:r>
        <w:rPr>
          <w:rFonts w:ascii="Times New Roman" w:hAnsi="Times New Roman" w:cs="Times New Roman"/>
          <w:sz w:val="24"/>
          <w:szCs w:val="24"/>
        </w:rPr>
        <w:t> </w:t>
      </w:r>
      <w:r w:rsidRPr="00EA27FF">
        <w:rPr>
          <w:rFonts w:ascii="Times New Roman" w:hAnsi="Times New Roman" w:cs="Times New Roman"/>
          <w:sz w:val="24"/>
          <w:szCs w:val="24"/>
        </w:rPr>
        <w:t xml:space="preserve">» (Allal, 2002; </w:t>
      </w:r>
      <w:proofErr w:type="spellStart"/>
      <w:r w:rsidRPr="00EA27FF">
        <w:rPr>
          <w:rFonts w:ascii="Times New Roman" w:hAnsi="Times New Roman" w:cs="Times New Roman"/>
          <w:sz w:val="24"/>
          <w:szCs w:val="24"/>
        </w:rPr>
        <w:t>Altet</w:t>
      </w:r>
      <w:proofErr w:type="spellEnd"/>
      <w:r w:rsidRPr="00EA27FF">
        <w:rPr>
          <w:rFonts w:ascii="Times New Roman" w:hAnsi="Times New Roman" w:cs="Times New Roman"/>
          <w:sz w:val="24"/>
          <w:szCs w:val="24"/>
        </w:rPr>
        <w:t xml:space="preserve">, 2002; </w:t>
      </w:r>
      <w:proofErr w:type="spellStart"/>
      <w:r w:rsidRPr="00EA27FF">
        <w:rPr>
          <w:rFonts w:ascii="Times New Roman" w:hAnsi="Times New Roman" w:cs="Times New Roman"/>
          <w:sz w:val="24"/>
          <w:szCs w:val="24"/>
        </w:rPr>
        <w:t>Amherlt</w:t>
      </w:r>
      <w:proofErr w:type="spellEnd"/>
      <w:r w:rsidRPr="00EA27FF">
        <w:rPr>
          <w:rFonts w:ascii="Times New Roman" w:hAnsi="Times New Roman" w:cs="Times New Roman"/>
          <w:sz w:val="24"/>
          <w:szCs w:val="24"/>
        </w:rPr>
        <w:t xml:space="preserve"> et al., 2001; Bain, 2002; Bellier, 1999</w:t>
      </w:r>
      <w:r>
        <w:rPr>
          <w:rFonts w:ascii="Times New Roman" w:hAnsi="Times New Roman" w:cs="Times New Roman"/>
          <w:sz w:val="24"/>
          <w:szCs w:val="24"/>
        </w:rPr>
        <w:t>;</w:t>
      </w:r>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Boyatzis</w:t>
      </w:r>
      <w:proofErr w:type="spellEnd"/>
      <w:r w:rsidRPr="00EA27FF">
        <w:rPr>
          <w:rFonts w:ascii="Times New Roman" w:hAnsi="Times New Roman" w:cs="Times New Roman"/>
          <w:sz w:val="24"/>
          <w:szCs w:val="24"/>
        </w:rPr>
        <w:t xml:space="preserve">, 1982; De </w:t>
      </w:r>
      <w:proofErr w:type="spellStart"/>
      <w:r w:rsidRPr="00EA27FF">
        <w:rPr>
          <w:rFonts w:ascii="Times New Roman" w:hAnsi="Times New Roman" w:cs="Times New Roman"/>
          <w:sz w:val="24"/>
          <w:szCs w:val="24"/>
        </w:rPr>
        <w:t>Ketele</w:t>
      </w:r>
      <w:proofErr w:type="spellEnd"/>
      <w:r w:rsidRPr="00EA27FF">
        <w:rPr>
          <w:rFonts w:ascii="Times New Roman" w:hAnsi="Times New Roman" w:cs="Times New Roman"/>
          <w:sz w:val="24"/>
          <w:szCs w:val="24"/>
        </w:rPr>
        <w:t xml:space="preserve">, 2001; De Terssac, 2001; </w:t>
      </w:r>
      <w:proofErr w:type="spellStart"/>
      <w:r w:rsidRPr="00EA27FF">
        <w:rPr>
          <w:rFonts w:ascii="Times New Roman" w:hAnsi="Times New Roman" w:cs="Times New Roman"/>
          <w:sz w:val="24"/>
          <w:szCs w:val="24"/>
        </w:rPr>
        <w:t>Fernagu-Oudet</w:t>
      </w:r>
      <w:proofErr w:type="spellEnd"/>
      <w:r w:rsidRPr="00EA27FF">
        <w:rPr>
          <w:rFonts w:ascii="Times New Roman" w:hAnsi="Times New Roman" w:cs="Times New Roman"/>
          <w:sz w:val="24"/>
          <w:szCs w:val="24"/>
        </w:rPr>
        <w:t xml:space="preserve">, 2001; </w:t>
      </w:r>
      <w:proofErr w:type="spellStart"/>
      <w:r w:rsidRPr="00EA27FF">
        <w:rPr>
          <w:rFonts w:ascii="Times New Roman" w:hAnsi="Times New Roman" w:cs="Times New Roman"/>
          <w:sz w:val="24"/>
          <w:szCs w:val="24"/>
        </w:rPr>
        <w:t>Flück</w:t>
      </w:r>
      <w:proofErr w:type="spellEnd"/>
      <w:r w:rsidRPr="00EA27FF">
        <w:rPr>
          <w:rFonts w:ascii="Times New Roman" w:hAnsi="Times New Roman" w:cs="Times New Roman"/>
          <w:sz w:val="24"/>
          <w:szCs w:val="24"/>
        </w:rPr>
        <w:t xml:space="preserve">, 2001; Gilbert &amp; Parlier, 1999; </w:t>
      </w:r>
      <w:proofErr w:type="spellStart"/>
      <w:r w:rsidRPr="00EA27FF">
        <w:rPr>
          <w:rFonts w:ascii="Times New Roman" w:hAnsi="Times New Roman" w:cs="Times New Roman"/>
          <w:sz w:val="24"/>
          <w:szCs w:val="24"/>
        </w:rPr>
        <w:t>Jonnaert</w:t>
      </w:r>
      <w:proofErr w:type="spellEnd"/>
      <w:r w:rsidRPr="00EA27FF">
        <w:rPr>
          <w:rFonts w:ascii="Times New Roman" w:hAnsi="Times New Roman" w:cs="Times New Roman"/>
          <w:sz w:val="24"/>
          <w:szCs w:val="24"/>
        </w:rPr>
        <w:t xml:space="preserve">, 2002; Laliberté &amp; Dorais, 1999; Le Boterf, 2001, 2018; Leplat, 2001; Lévy-Leboyer, 1996; Lichtenberger, 2003; Martineau &amp; Gauthier, 2000; Massot &amp; </w:t>
      </w:r>
      <w:proofErr w:type="spellStart"/>
      <w:r w:rsidRPr="00EA27FF">
        <w:rPr>
          <w:rFonts w:ascii="Times New Roman" w:hAnsi="Times New Roman" w:cs="Times New Roman"/>
          <w:sz w:val="24"/>
          <w:szCs w:val="24"/>
        </w:rPr>
        <w:t>Feisthammel</w:t>
      </w:r>
      <w:proofErr w:type="spellEnd"/>
      <w:r w:rsidRPr="00EA27FF">
        <w:rPr>
          <w:rFonts w:ascii="Times New Roman" w:hAnsi="Times New Roman" w:cs="Times New Roman"/>
          <w:sz w:val="24"/>
          <w:szCs w:val="24"/>
        </w:rPr>
        <w:t xml:space="preserve">, 1997; </w:t>
      </w: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xml:space="preserve">, 2000; Pastré, 1999; Perrenoud, 2002; </w:t>
      </w:r>
      <w:proofErr w:type="spellStart"/>
      <w:r w:rsidRPr="00EA27FF">
        <w:rPr>
          <w:rFonts w:ascii="Times New Roman" w:hAnsi="Times New Roman" w:cs="Times New Roman"/>
          <w:sz w:val="24"/>
          <w:szCs w:val="24"/>
        </w:rPr>
        <w:t>Pettersen</w:t>
      </w:r>
      <w:proofErr w:type="spellEnd"/>
      <w:r w:rsidRPr="00EA27FF">
        <w:rPr>
          <w:rFonts w:ascii="Times New Roman" w:hAnsi="Times New Roman" w:cs="Times New Roman"/>
          <w:sz w:val="24"/>
          <w:szCs w:val="24"/>
        </w:rPr>
        <w:t xml:space="preserve"> &amp; St-Pierre, 2003; Rey, 1998; </w:t>
      </w:r>
      <w:proofErr w:type="spellStart"/>
      <w:r w:rsidRPr="00EA27FF">
        <w:rPr>
          <w:rFonts w:ascii="Times New Roman" w:hAnsi="Times New Roman" w:cs="Times New Roman"/>
          <w:sz w:val="24"/>
          <w:szCs w:val="24"/>
        </w:rPr>
        <w:t>Roegiers</w:t>
      </w:r>
      <w:proofErr w:type="spellEnd"/>
      <w:r w:rsidRPr="00EA27FF">
        <w:rPr>
          <w:rFonts w:ascii="Times New Roman" w:hAnsi="Times New Roman" w:cs="Times New Roman"/>
          <w:sz w:val="24"/>
          <w:szCs w:val="24"/>
        </w:rPr>
        <w:t xml:space="preserve">, 2000; Romainville, 1996; </w:t>
      </w:r>
      <w:proofErr w:type="spellStart"/>
      <w:r w:rsidRPr="00EA27FF">
        <w:rPr>
          <w:rFonts w:ascii="Times New Roman" w:hAnsi="Times New Roman" w:cs="Times New Roman"/>
          <w:sz w:val="24"/>
          <w:szCs w:val="24"/>
        </w:rPr>
        <w:t>Ropé</w:t>
      </w:r>
      <w:proofErr w:type="spellEnd"/>
      <w:r w:rsidRPr="00EA27FF">
        <w:rPr>
          <w:rFonts w:ascii="Times New Roman" w:hAnsi="Times New Roman" w:cs="Times New Roman"/>
          <w:sz w:val="24"/>
          <w:szCs w:val="24"/>
        </w:rPr>
        <w:t xml:space="preserve">, 1996; Tardif, 2006; Tardif &amp; Presseau, 1998; Vergnaud, 1996; </w:t>
      </w:r>
      <w:proofErr w:type="spellStart"/>
      <w:r w:rsidRPr="00EA27FF">
        <w:rPr>
          <w:rFonts w:ascii="Times New Roman" w:hAnsi="Times New Roman" w:cs="Times New Roman"/>
          <w:sz w:val="24"/>
          <w:szCs w:val="24"/>
        </w:rPr>
        <w:t>Wittorski</w:t>
      </w:r>
      <w:proofErr w:type="spellEnd"/>
      <w:r w:rsidRPr="00EA27FF">
        <w:rPr>
          <w:rFonts w:ascii="Times New Roman" w:hAnsi="Times New Roman" w:cs="Times New Roman"/>
          <w:sz w:val="24"/>
          <w:szCs w:val="24"/>
        </w:rPr>
        <w:t>, 1998).</w:t>
      </w:r>
      <w:r w:rsidRPr="00CD33AA">
        <w:rPr>
          <w:rFonts w:ascii="Times New Roman" w:hAnsi="Times New Roman" w:cs="Times New Roman"/>
          <w:sz w:val="24"/>
          <w:szCs w:val="24"/>
        </w:rPr>
        <w:t xml:space="preserve"> </w:t>
      </w:r>
    </w:p>
    <w:p w14:paraId="12DA0F0B" w14:textId="1F7B705A" w:rsidR="00A72A46"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Dans une APC, on identifie </w:t>
      </w:r>
      <w:r w:rsidRPr="00EA27FF">
        <w:rPr>
          <w:rFonts w:ascii="Times New Roman" w:hAnsi="Times New Roman" w:cs="Times New Roman"/>
          <w:sz w:val="24"/>
          <w:szCs w:val="24"/>
        </w:rPr>
        <w:t>les ressources internes et externes à mobiliser dans chacune des compétences</w:t>
      </w:r>
      <w:r>
        <w:rPr>
          <w:rFonts w:ascii="Times New Roman" w:hAnsi="Times New Roman" w:cs="Times New Roman"/>
          <w:sz w:val="24"/>
          <w:szCs w:val="24"/>
        </w:rPr>
        <w:t xml:space="preserve">. Il faut </w:t>
      </w:r>
      <w:r w:rsidRPr="00EA27FF">
        <w:rPr>
          <w:rFonts w:ascii="Times New Roman" w:hAnsi="Times New Roman" w:cs="Times New Roman"/>
          <w:sz w:val="24"/>
          <w:szCs w:val="24"/>
        </w:rPr>
        <w:t xml:space="preserve">planifier </w:t>
      </w:r>
      <w:r>
        <w:rPr>
          <w:rFonts w:ascii="Times New Roman" w:hAnsi="Times New Roman" w:cs="Times New Roman"/>
          <w:sz w:val="24"/>
          <w:szCs w:val="24"/>
        </w:rPr>
        <w:t xml:space="preserve">des formations à </w:t>
      </w:r>
      <w:r w:rsidRPr="00EA27FF">
        <w:rPr>
          <w:rFonts w:ascii="Times New Roman" w:hAnsi="Times New Roman" w:cs="Times New Roman"/>
          <w:sz w:val="24"/>
          <w:szCs w:val="24"/>
        </w:rPr>
        <w:t xml:space="preserve">la mobilisation des ressources internes (connaissances et habiletés) dans les </w:t>
      </w:r>
      <w:r w:rsidRPr="009B5EBB">
        <w:rPr>
          <w:rFonts w:ascii="Times New Roman" w:hAnsi="Times New Roman" w:cs="Times New Roman"/>
          <w:sz w:val="24"/>
          <w:szCs w:val="24"/>
        </w:rPr>
        <w:t xml:space="preserve">apprentissages et non des formations à l’acquisition </w:t>
      </w:r>
      <w:r>
        <w:rPr>
          <w:rFonts w:ascii="Times New Roman" w:hAnsi="Times New Roman" w:cs="Times New Roman"/>
          <w:sz w:val="24"/>
          <w:szCs w:val="24"/>
        </w:rPr>
        <w:t xml:space="preserve">décontextualisée </w:t>
      </w:r>
      <w:r w:rsidRPr="009B5EBB">
        <w:rPr>
          <w:rFonts w:ascii="Times New Roman" w:hAnsi="Times New Roman" w:cs="Times New Roman"/>
          <w:sz w:val="24"/>
          <w:szCs w:val="24"/>
        </w:rPr>
        <w:t xml:space="preserve">de ces ressources. </w:t>
      </w:r>
      <w:r>
        <w:rPr>
          <w:rFonts w:ascii="Times New Roman" w:hAnsi="Times New Roman" w:cs="Times New Roman"/>
          <w:sz w:val="24"/>
          <w:szCs w:val="24"/>
        </w:rPr>
        <w:t xml:space="preserve">On assurera aussi </w:t>
      </w:r>
      <w:r w:rsidRPr="00EA27FF">
        <w:rPr>
          <w:rFonts w:ascii="Times New Roman" w:hAnsi="Times New Roman" w:cs="Times New Roman"/>
          <w:sz w:val="24"/>
          <w:szCs w:val="24"/>
        </w:rPr>
        <w:t>la disponibilité des ressources externes</w:t>
      </w:r>
      <w:r w:rsidR="00FF160A">
        <w:rPr>
          <w:rFonts w:ascii="Times New Roman" w:hAnsi="Times New Roman" w:cs="Times New Roman"/>
          <w:sz w:val="24"/>
          <w:szCs w:val="24"/>
        </w:rPr>
        <w:t xml:space="preserve"> pour qu’elles soient mobilisées en temps opportun</w:t>
      </w:r>
      <w:r w:rsidRPr="00EA27FF">
        <w:rPr>
          <w:rFonts w:ascii="Times New Roman" w:hAnsi="Times New Roman" w:cs="Times New Roman"/>
          <w:sz w:val="24"/>
          <w:szCs w:val="24"/>
        </w:rPr>
        <w:t>.</w:t>
      </w:r>
      <w:r>
        <w:rPr>
          <w:rFonts w:ascii="Times New Roman" w:hAnsi="Times New Roman" w:cs="Times New Roman"/>
          <w:sz w:val="24"/>
          <w:szCs w:val="24"/>
        </w:rPr>
        <w:t xml:space="preserve"> </w:t>
      </w:r>
    </w:p>
    <w:p w14:paraId="527FC757" w14:textId="77777777" w:rsidR="00A72A46" w:rsidRPr="00EA27FF" w:rsidRDefault="00A72A46" w:rsidP="00F03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Enfin, l</w:t>
      </w:r>
      <w:r w:rsidRPr="00EA27FF">
        <w:rPr>
          <w:rFonts w:ascii="Times New Roman" w:hAnsi="Times New Roman" w:cs="Times New Roman"/>
          <w:sz w:val="24"/>
          <w:szCs w:val="24"/>
        </w:rPr>
        <w:t>a mobilisation des ressources se fai</w:t>
      </w:r>
      <w:r>
        <w:rPr>
          <w:rFonts w:ascii="Times New Roman" w:hAnsi="Times New Roman" w:cs="Times New Roman"/>
          <w:sz w:val="24"/>
          <w:szCs w:val="24"/>
        </w:rPr>
        <w:t>san</w:t>
      </w:r>
      <w:r w:rsidRPr="00EA27FF">
        <w:rPr>
          <w:rFonts w:ascii="Times New Roman" w:hAnsi="Times New Roman" w:cs="Times New Roman"/>
          <w:sz w:val="24"/>
          <w:szCs w:val="24"/>
        </w:rPr>
        <w:t>t de manière adaptée au contexte d’une situation spécifique ou d’une famille de situations</w:t>
      </w:r>
      <w:r>
        <w:rPr>
          <w:rFonts w:ascii="Times New Roman" w:hAnsi="Times New Roman" w:cs="Times New Roman"/>
          <w:sz w:val="24"/>
          <w:szCs w:val="24"/>
        </w:rPr>
        <w:t xml:space="preserve">, il </w:t>
      </w:r>
      <w:r w:rsidRPr="00EA27FF">
        <w:rPr>
          <w:rFonts w:ascii="Times New Roman" w:hAnsi="Times New Roman" w:cs="Times New Roman"/>
          <w:sz w:val="24"/>
          <w:szCs w:val="24"/>
        </w:rPr>
        <w:t>faut préciser les situations (ou familles de situations) dans lesquelles les compétences se déploient</w:t>
      </w:r>
      <w:r>
        <w:rPr>
          <w:rFonts w:ascii="Times New Roman" w:hAnsi="Times New Roman" w:cs="Times New Roman"/>
          <w:sz w:val="24"/>
          <w:szCs w:val="24"/>
        </w:rPr>
        <w:t xml:space="preserve"> en apprentissage</w:t>
      </w:r>
      <w:r w:rsidRPr="00EA27FF">
        <w:rPr>
          <w:rFonts w:ascii="Times New Roman" w:hAnsi="Times New Roman" w:cs="Times New Roman"/>
          <w:sz w:val="24"/>
          <w:szCs w:val="24"/>
        </w:rPr>
        <w:t xml:space="preserve"> : </w:t>
      </w:r>
      <w:r>
        <w:rPr>
          <w:rFonts w:ascii="Times New Roman" w:hAnsi="Times New Roman" w:cs="Times New Roman"/>
          <w:sz w:val="24"/>
          <w:szCs w:val="24"/>
        </w:rPr>
        <w:t xml:space="preserve">stratégies pédagogiques de mises en situation, d’études de cas, de </w:t>
      </w:r>
      <w:r w:rsidRPr="00EA27FF">
        <w:rPr>
          <w:rFonts w:ascii="Times New Roman" w:hAnsi="Times New Roman" w:cs="Times New Roman"/>
          <w:sz w:val="24"/>
          <w:szCs w:val="24"/>
        </w:rPr>
        <w:t>laboratoire</w:t>
      </w:r>
      <w:r>
        <w:rPr>
          <w:rFonts w:ascii="Times New Roman" w:hAnsi="Times New Roman" w:cs="Times New Roman"/>
          <w:sz w:val="24"/>
          <w:szCs w:val="24"/>
        </w:rPr>
        <w:t>s</w:t>
      </w:r>
      <w:r w:rsidRPr="00EA27FF">
        <w:rPr>
          <w:rFonts w:ascii="Times New Roman" w:hAnsi="Times New Roman" w:cs="Times New Roman"/>
          <w:sz w:val="24"/>
          <w:szCs w:val="24"/>
        </w:rPr>
        <w:t>, de stages, de simulation</w:t>
      </w:r>
      <w:r>
        <w:rPr>
          <w:rFonts w:ascii="Times New Roman" w:hAnsi="Times New Roman" w:cs="Times New Roman"/>
          <w:sz w:val="24"/>
          <w:szCs w:val="24"/>
        </w:rPr>
        <w:t>s</w:t>
      </w:r>
      <w:r w:rsidRPr="00EA27FF">
        <w:rPr>
          <w:rFonts w:ascii="Times New Roman" w:hAnsi="Times New Roman" w:cs="Times New Roman"/>
          <w:sz w:val="24"/>
          <w:szCs w:val="24"/>
        </w:rPr>
        <w:t>, etc.</w:t>
      </w:r>
    </w:p>
    <w:p w14:paraId="0B0F287E" w14:textId="77777777" w:rsidR="00A72A46" w:rsidRDefault="00A72A46" w:rsidP="00A72A46">
      <w:pPr>
        <w:spacing w:after="120" w:line="240" w:lineRule="auto"/>
        <w:ind w:left="567" w:hanging="567"/>
        <w:jc w:val="both"/>
        <w:rPr>
          <w:rFonts w:ascii="Times New Roman" w:hAnsi="Times New Roman" w:cs="Times New Roman"/>
          <w:b/>
          <w:sz w:val="24"/>
          <w:szCs w:val="24"/>
        </w:rPr>
      </w:pPr>
    </w:p>
    <w:p w14:paraId="0EB18630" w14:textId="77777777" w:rsidR="00CF469A" w:rsidRDefault="00CF469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F911754" w14:textId="2DC58CA6" w:rsidR="00A72A46" w:rsidRPr="00EA27FF" w:rsidRDefault="00A72A46" w:rsidP="00A72A46">
      <w:pPr>
        <w:spacing w:after="120" w:line="240" w:lineRule="auto"/>
        <w:ind w:left="567" w:hanging="567"/>
        <w:jc w:val="both"/>
        <w:rPr>
          <w:rFonts w:ascii="Times New Roman" w:hAnsi="Times New Roman" w:cs="Times New Roman"/>
          <w:b/>
          <w:sz w:val="24"/>
          <w:szCs w:val="24"/>
        </w:rPr>
      </w:pPr>
      <w:r w:rsidRPr="00EA27FF">
        <w:rPr>
          <w:rFonts w:ascii="Times New Roman" w:hAnsi="Times New Roman" w:cs="Times New Roman"/>
          <w:b/>
          <w:sz w:val="24"/>
          <w:szCs w:val="24"/>
        </w:rPr>
        <w:lastRenderedPageBreak/>
        <w:t>Références</w:t>
      </w:r>
    </w:p>
    <w:p w14:paraId="5C38DC23"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Allal, L. (2002). Acquisition et évaluation des compétences en situation scolaire. Dans J. </w:t>
      </w:r>
      <w:proofErr w:type="spellStart"/>
      <w:r w:rsidRPr="00CF5029">
        <w:rPr>
          <w:rFonts w:ascii="Times New Roman" w:hAnsi="Times New Roman" w:cs="Times New Roman"/>
          <w:sz w:val="24"/>
          <w:szCs w:val="24"/>
        </w:rPr>
        <w:t>Dolz</w:t>
      </w:r>
      <w:proofErr w:type="spellEnd"/>
      <w:r w:rsidRPr="00CF5029">
        <w:rPr>
          <w:rFonts w:ascii="Times New Roman" w:hAnsi="Times New Roman" w:cs="Times New Roman"/>
          <w:sz w:val="24"/>
          <w:szCs w:val="24"/>
        </w:rPr>
        <w:t xml:space="preserve">, &amp; E. </w:t>
      </w:r>
      <w:proofErr w:type="spellStart"/>
      <w:r w:rsidRPr="00CF5029">
        <w:rPr>
          <w:rFonts w:ascii="Times New Roman" w:hAnsi="Times New Roman" w:cs="Times New Roman"/>
          <w:sz w:val="24"/>
          <w:szCs w:val="24"/>
        </w:rPr>
        <w:t>Ollagnier</w:t>
      </w:r>
      <w:proofErr w:type="spellEnd"/>
      <w:r w:rsidRPr="00CF5029">
        <w:rPr>
          <w:rFonts w:ascii="Times New Roman" w:hAnsi="Times New Roman" w:cs="Times New Roman"/>
          <w:sz w:val="24"/>
          <w:szCs w:val="24"/>
        </w:rPr>
        <w:t xml:space="preserve">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L’énigme de la compétence en éducation </w:t>
      </w:r>
      <w:r w:rsidRPr="00CF5029">
        <w:rPr>
          <w:rFonts w:ascii="Times New Roman" w:hAnsi="Times New Roman" w:cs="Times New Roman"/>
          <w:sz w:val="24"/>
          <w:szCs w:val="24"/>
        </w:rPr>
        <w:t>(pp. 77-94). Bruxelles : De Boeck.</w:t>
      </w:r>
    </w:p>
    <w:p w14:paraId="0C6216C4" w14:textId="77777777" w:rsidR="00A72A46" w:rsidRPr="00CF5029" w:rsidRDefault="00A72A46" w:rsidP="00A72A46">
      <w:pPr>
        <w:spacing w:after="120" w:line="240" w:lineRule="auto"/>
        <w:ind w:left="567" w:hanging="567"/>
        <w:jc w:val="both"/>
        <w:rPr>
          <w:rFonts w:ascii="Times New Roman" w:hAnsi="Times New Roman" w:cs="Times New Roman"/>
        </w:rPr>
      </w:pP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M. (1998). Quelle formation professionnalisante pour développer les compétences de « l’enseignant-professionnel » et une culture professionnelle d’acteur? Dans M. Tardif, C. Lessard, &amp; C. Gauthier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Formation des maîtres et contextes sociaux </w:t>
      </w:r>
      <w:r w:rsidRPr="00CF5029">
        <w:rPr>
          <w:rFonts w:ascii="Times New Roman" w:hAnsi="Times New Roman" w:cs="Times New Roman"/>
          <w:sz w:val="24"/>
          <w:szCs w:val="24"/>
        </w:rPr>
        <w:t>(pp. 71-86). Paris : Presses universitaires de France.</w:t>
      </w:r>
      <w:r w:rsidRPr="00CF5029">
        <w:rPr>
          <w:rFonts w:ascii="Times New Roman" w:hAnsi="Times New Roman" w:cs="Times New Roman"/>
        </w:rPr>
        <w:t xml:space="preserve"> </w:t>
      </w:r>
    </w:p>
    <w:p w14:paraId="2A100DD5"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xml:space="preserve">, M. (2002). Quelle(s) professionnalité(s) des formateurs en formation continue? Vers un profil </w:t>
      </w:r>
      <w:proofErr w:type="spellStart"/>
      <w:r w:rsidRPr="00CF5029">
        <w:rPr>
          <w:rFonts w:ascii="Times New Roman" w:hAnsi="Times New Roman" w:cs="Times New Roman"/>
          <w:sz w:val="24"/>
          <w:szCs w:val="24"/>
        </w:rPr>
        <w:t>polyidentitaire</w:t>
      </w:r>
      <w:proofErr w:type="spellEnd"/>
      <w:r w:rsidRPr="00CF5029">
        <w:rPr>
          <w:rFonts w:ascii="Times New Roman" w:hAnsi="Times New Roman" w:cs="Times New Roman"/>
          <w:sz w:val="24"/>
          <w:szCs w:val="24"/>
        </w:rPr>
        <w:t xml:space="preserve">. Dans M. </w:t>
      </w: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L. Paquet, &amp; P. Perrenoud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sz w:val="24"/>
          <w:szCs w:val="24"/>
        </w:rPr>
        <w:t>Formateurs d’enseignants. Quelle professionnalisation?</w:t>
      </w:r>
      <w:r w:rsidRPr="00CF5029">
        <w:rPr>
          <w:rFonts w:ascii="Times New Roman" w:hAnsi="Times New Roman" w:cs="Times New Roman"/>
          <w:sz w:val="24"/>
          <w:szCs w:val="24"/>
        </w:rPr>
        <w:t xml:space="preserve"> (pp. 59-87). Bruxelles : De Boeck.</w:t>
      </w:r>
    </w:p>
    <w:p w14:paraId="44EF79CC"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proofErr w:type="spellStart"/>
      <w:r w:rsidRPr="00CF5029">
        <w:rPr>
          <w:rFonts w:ascii="Times New Roman" w:hAnsi="Times New Roman" w:cs="Times New Roman"/>
          <w:sz w:val="24"/>
          <w:szCs w:val="24"/>
        </w:rPr>
        <w:t>Amherlt</w:t>
      </w:r>
      <w:proofErr w:type="spellEnd"/>
      <w:r w:rsidRPr="00CF5029">
        <w:rPr>
          <w:rFonts w:ascii="Times New Roman" w:hAnsi="Times New Roman" w:cs="Times New Roman"/>
          <w:sz w:val="24"/>
          <w:szCs w:val="24"/>
        </w:rPr>
        <w:t xml:space="preserve">, C.-H., </w:t>
      </w:r>
      <w:proofErr w:type="spellStart"/>
      <w:r w:rsidRPr="00CF5029">
        <w:rPr>
          <w:rFonts w:ascii="Times New Roman" w:hAnsi="Times New Roman" w:cs="Times New Roman"/>
          <w:sz w:val="24"/>
          <w:szCs w:val="24"/>
        </w:rPr>
        <w:t>Dupuich-Rabasse</w:t>
      </w:r>
      <w:proofErr w:type="spellEnd"/>
      <w:r w:rsidRPr="00CF5029">
        <w:rPr>
          <w:rFonts w:ascii="Times New Roman" w:hAnsi="Times New Roman" w:cs="Times New Roman"/>
          <w:sz w:val="24"/>
          <w:szCs w:val="24"/>
        </w:rPr>
        <w:t xml:space="preserve">, F., Emery, Y., &amp; Giauque, D. (2001). </w:t>
      </w:r>
      <w:r w:rsidRPr="00CF5029">
        <w:rPr>
          <w:rFonts w:ascii="Times New Roman" w:hAnsi="Times New Roman" w:cs="Times New Roman"/>
          <w:i/>
          <w:sz w:val="24"/>
          <w:szCs w:val="24"/>
        </w:rPr>
        <w:t>Compétences collectives dans les organisations. Émergence, gestion et développement</w:t>
      </w:r>
      <w:r w:rsidRPr="00CF5029">
        <w:rPr>
          <w:rFonts w:ascii="Times New Roman" w:hAnsi="Times New Roman" w:cs="Times New Roman"/>
          <w:sz w:val="24"/>
          <w:szCs w:val="24"/>
        </w:rPr>
        <w:t xml:space="preserve">. Québec : Presses de l’Université Laval. </w:t>
      </w:r>
    </w:p>
    <w:p w14:paraId="322063A6"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 xml:space="preserve">Bain, D. (2002). De l’évaluation aux compétences : mise en perspective de pratiques émergentes. Dans J. </w:t>
      </w:r>
      <w:proofErr w:type="spellStart"/>
      <w:r w:rsidRPr="00CF5029">
        <w:rPr>
          <w:rFonts w:ascii="Times New Roman" w:hAnsi="Times New Roman" w:cs="Times New Roman"/>
          <w:sz w:val="24"/>
          <w:szCs w:val="24"/>
        </w:rPr>
        <w:t>Dolz</w:t>
      </w:r>
      <w:proofErr w:type="spellEnd"/>
      <w:r w:rsidRPr="00CF5029">
        <w:rPr>
          <w:rFonts w:ascii="Times New Roman" w:hAnsi="Times New Roman" w:cs="Times New Roman"/>
          <w:sz w:val="24"/>
          <w:szCs w:val="24"/>
        </w:rPr>
        <w:t xml:space="preserve">, &amp; E. </w:t>
      </w:r>
      <w:proofErr w:type="spellStart"/>
      <w:r w:rsidRPr="00CF5029">
        <w:rPr>
          <w:rFonts w:ascii="Times New Roman" w:hAnsi="Times New Roman" w:cs="Times New Roman"/>
          <w:sz w:val="24"/>
          <w:szCs w:val="24"/>
        </w:rPr>
        <w:t>Ollagnier</w:t>
      </w:r>
      <w:proofErr w:type="spellEnd"/>
      <w:r w:rsidRPr="00CF5029">
        <w:rPr>
          <w:rFonts w:ascii="Times New Roman" w:hAnsi="Times New Roman" w:cs="Times New Roman"/>
          <w:sz w:val="24"/>
          <w:szCs w:val="24"/>
        </w:rPr>
        <w:t xml:space="preserve">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sz w:val="24"/>
          <w:szCs w:val="24"/>
        </w:rPr>
        <w:t>L’énigme de la compétence en édu</w:t>
      </w:r>
      <w:r w:rsidRPr="00CF5029">
        <w:rPr>
          <w:rFonts w:ascii="Times New Roman" w:hAnsi="Times New Roman" w:cs="Times New Roman"/>
          <w:sz w:val="24"/>
          <w:szCs w:val="24"/>
        </w:rPr>
        <w:t>cation (pp. 129-145). Bruxelles : De Boeck.</w:t>
      </w:r>
    </w:p>
    <w:p w14:paraId="1F9B974C" w14:textId="77777777" w:rsidR="00A72A46" w:rsidRPr="00CF5029" w:rsidRDefault="00A72A46" w:rsidP="00A72A46">
      <w:pPr>
        <w:spacing w:after="120" w:line="240" w:lineRule="auto"/>
        <w:ind w:left="567" w:hanging="567"/>
        <w:jc w:val="both"/>
        <w:rPr>
          <w:rFonts w:ascii="Times New Roman" w:hAnsi="Times New Roman" w:cs="Times New Roman"/>
          <w:sz w:val="24"/>
          <w:szCs w:val="24"/>
          <w:lang w:val="en-CA"/>
        </w:rPr>
      </w:pPr>
      <w:r w:rsidRPr="00A31C89">
        <w:rPr>
          <w:rFonts w:ascii="Times New Roman" w:hAnsi="Times New Roman" w:cs="Times New Roman"/>
          <w:sz w:val="24"/>
          <w:szCs w:val="24"/>
          <w:lang w:val="en-CA"/>
        </w:rPr>
        <w:t xml:space="preserve">Bandura, A. (1997). </w:t>
      </w:r>
      <w:r w:rsidRPr="00CF5029">
        <w:rPr>
          <w:rFonts w:ascii="Times New Roman" w:hAnsi="Times New Roman" w:cs="Times New Roman"/>
          <w:i/>
          <w:sz w:val="24"/>
          <w:szCs w:val="24"/>
          <w:lang w:val="en-CA"/>
        </w:rPr>
        <w:t>Self-efficacy. The exercise of control</w:t>
      </w:r>
      <w:r w:rsidRPr="00CF5029">
        <w:rPr>
          <w:rFonts w:ascii="Times New Roman" w:hAnsi="Times New Roman" w:cs="Times New Roman"/>
          <w:sz w:val="24"/>
          <w:szCs w:val="24"/>
          <w:lang w:val="en-CA"/>
        </w:rPr>
        <w:t xml:space="preserve">. New York, </w:t>
      </w:r>
      <w:proofErr w:type="gramStart"/>
      <w:r w:rsidRPr="00CF5029">
        <w:rPr>
          <w:rFonts w:ascii="Times New Roman" w:hAnsi="Times New Roman" w:cs="Times New Roman"/>
          <w:sz w:val="24"/>
          <w:szCs w:val="24"/>
          <w:lang w:val="en-CA"/>
        </w:rPr>
        <w:t>NY :</w:t>
      </w:r>
      <w:proofErr w:type="gramEnd"/>
      <w:r w:rsidRPr="00CF5029">
        <w:rPr>
          <w:rFonts w:ascii="Times New Roman" w:hAnsi="Times New Roman" w:cs="Times New Roman"/>
          <w:sz w:val="24"/>
          <w:szCs w:val="24"/>
          <w:lang w:val="en-CA"/>
        </w:rPr>
        <w:t xml:space="preserve"> Freeman.</w:t>
      </w:r>
    </w:p>
    <w:p w14:paraId="2F07F6BB"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proofErr w:type="spellStart"/>
      <w:r w:rsidRPr="00D85206">
        <w:rPr>
          <w:rFonts w:ascii="Times New Roman" w:hAnsi="Times New Roman" w:cs="Times New Roman"/>
          <w:sz w:val="24"/>
          <w:szCs w:val="24"/>
          <w:lang w:val="en-CA"/>
        </w:rPr>
        <w:t>Barkatoolah</w:t>
      </w:r>
      <w:proofErr w:type="spellEnd"/>
      <w:r w:rsidRPr="00D85206">
        <w:rPr>
          <w:rFonts w:ascii="Times New Roman" w:hAnsi="Times New Roman" w:cs="Times New Roman"/>
          <w:sz w:val="24"/>
          <w:szCs w:val="24"/>
          <w:lang w:val="en-CA"/>
        </w:rPr>
        <w:t xml:space="preserve">, A. (2000). </w:t>
      </w:r>
      <w:r w:rsidRPr="00CF5029">
        <w:rPr>
          <w:rFonts w:ascii="Times New Roman" w:hAnsi="Times New Roman" w:cs="Times New Roman"/>
          <w:i/>
          <w:iCs/>
          <w:sz w:val="24"/>
          <w:szCs w:val="24"/>
        </w:rPr>
        <w:t>Valider les acquis et les compétences en entreprise</w:t>
      </w:r>
      <w:r w:rsidRPr="00CF5029">
        <w:rPr>
          <w:rFonts w:ascii="Times New Roman" w:hAnsi="Times New Roman" w:cs="Times New Roman"/>
          <w:sz w:val="24"/>
          <w:szCs w:val="24"/>
        </w:rPr>
        <w:t>. Paris : Insep.</w:t>
      </w:r>
    </w:p>
    <w:p w14:paraId="5F913FA5"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 xml:space="preserve">Bélair, L. (2001). La formation à la complexité du métier d’enseignant. Dans L. </w:t>
      </w:r>
      <w:proofErr w:type="spellStart"/>
      <w:r w:rsidRPr="00CF5029">
        <w:rPr>
          <w:rFonts w:ascii="Times New Roman" w:hAnsi="Times New Roman" w:cs="Times New Roman"/>
          <w:sz w:val="24"/>
          <w:szCs w:val="24"/>
        </w:rPr>
        <w:t>Paquay</w:t>
      </w:r>
      <w:proofErr w:type="spellEnd"/>
      <w:r w:rsidRPr="00CF5029">
        <w:rPr>
          <w:rFonts w:ascii="Times New Roman" w:hAnsi="Times New Roman" w:cs="Times New Roman"/>
          <w:sz w:val="24"/>
          <w:szCs w:val="24"/>
        </w:rPr>
        <w:t xml:space="preserve">,  M. </w:t>
      </w:r>
      <w:proofErr w:type="spellStart"/>
      <w:r w:rsidRPr="00CF5029">
        <w:rPr>
          <w:rFonts w:ascii="Times New Roman" w:hAnsi="Times New Roman" w:cs="Times New Roman"/>
          <w:sz w:val="24"/>
          <w:szCs w:val="24"/>
        </w:rPr>
        <w:t>Altet</w:t>
      </w:r>
      <w:proofErr w:type="spellEnd"/>
      <w:r w:rsidRPr="00CF5029">
        <w:rPr>
          <w:rFonts w:ascii="Times New Roman" w:hAnsi="Times New Roman" w:cs="Times New Roman"/>
          <w:sz w:val="24"/>
          <w:szCs w:val="24"/>
        </w:rPr>
        <w:t>, É. Charlier, &amp; P. Perrenoud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Former des enseignants professionnels </w:t>
      </w:r>
      <w:r w:rsidRPr="00CF5029">
        <w:rPr>
          <w:rFonts w:ascii="Times New Roman" w:hAnsi="Times New Roman" w:cs="Times New Roman"/>
          <w:sz w:val="24"/>
          <w:szCs w:val="24"/>
        </w:rPr>
        <w:t>(3</w:t>
      </w:r>
      <w:r w:rsidRPr="00CF5029">
        <w:rPr>
          <w:rFonts w:ascii="Times New Roman" w:hAnsi="Times New Roman" w:cs="Times New Roman"/>
          <w:sz w:val="24"/>
          <w:szCs w:val="24"/>
          <w:vertAlign w:val="superscript"/>
        </w:rPr>
        <w:t>e</w:t>
      </w:r>
      <w:r w:rsidRPr="00CF5029">
        <w:rPr>
          <w:rFonts w:ascii="Times New Roman" w:hAnsi="Times New Roman" w:cs="Times New Roman"/>
          <w:sz w:val="24"/>
          <w:szCs w:val="24"/>
        </w:rPr>
        <w:t xml:space="preserve"> éd., pp. 63-75). Bruxelles : </w:t>
      </w:r>
      <w:proofErr w:type="spellStart"/>
      <w:r w:rsidRPr="00CF5029">
        <w:rPr>
          <w:rFonts w:ascii="Times New Roman" w:hAnsi="Times New Roman" w:cs="Times New Roman"/>
          <w:sz w:val="24"/>
          <w:szCs w:val="24"/>
        </w:rPr>
        <w:t>DeBoeck</w:t>
      </w:r>
      <w:proofErr w:type="spellEnd"/>
      <w:r w:rsidRPr="00CF5029">
        <w:rPr>
          <w:rFonts w:ascii="Times New Roman" w:hAnsi="Times New Roman" w:cs="Times New Roman"/>
          <w:sz w:val="24"/>
          <w:szCs w:val="24"/>
        </w:rPr>
        <w:t>.</w:t>
      </w:r>
    </w:p>
    <w:p w14:paraId="6243835E" w14:textId="77777777" w:rsidR="00A72A46" w:rsidRPr="00CF502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Bellier, S. (1999). La compétence. Dans P. Carré, &amp; P. Caspar (</w:t>
      </w:r>
      <w:proofErr w:type="spellStart"/>
      <w:r w:rsidRPr="00CF5029">
        <w:rPr>
          <w:rFonts w:ascii="Times New Roman" w:hAnsi="Times New Roman" w:cs="Times New Roman"/>
          <w:sz w:val="24"/>
          <w:szCs w:val="24"/>
        </w:rPr>
        <w:t>Éds</w:t>
      </w:r>
      <w:proofErr w:type="spellEnd"/>
      <w:r w:rsidRPr="00CF5029">
        <w:rPr>
          <w:rFonts w:ascii="Times New Roman" w:hAnsi="Times New Roman" w:cs="Times New Roman"/>
          <w:sz w:val="24"/>
          <w:szCs w:val="24"/>
        </w:rPr>
        <w:t xml:space="preserve">), </w:t>
      </w:r>
      <w:r w:rsidRPr="00CF5029">
        <w:rPr>
          <w:rFonts w:ascii="Times New Roman" w:hAnsi="Times New Roman" w:cs="Times New Roman"/>
          <w:i/>
          <w:iCs/>
          <w:sz w:val="24"/>
          <w:szCs w:val="24"/>
        </w:rPr>
        <w:t xml:space="preserve">Traité des sciences et des techniques de la formation </w:t>
      </w:r>
      <w:r w:rsidRPr="00CF5029">
        <w:rPr>
          <w:rFonts w:ascii="Times New Roman" w:hAnsi="Times New Roman" w:cs="Times New Roman"/>
          <w:sz w:val="24"/>
          <w:szCs w:val="24"/>
        </w:rPr>
        <w:t>(pp. 223-244). Paris : Dunod.</w:t>
      </w:r>
    </w:p>
    <w:p w14:paraId="5313929A" w14:textId="77777777" w:rsidR="00A72A46" w:rsidRPr="00A31C89" w:rsidRDefault="00A72A46" w:rsidP="00A72A46">
      <w:pPr>
        <w:spacing w:after="120" w:line="240" w:lineRule="auto"/>
        <w:ind w:left="567" w:hanging="567"/>
        <w:jc w:val="both"/>
        <w:rPr>
          <w:rFonts w:ascii="Times New Roman" w:hAnsi="Times New Roman" w:cs="Times New Roman"/>
          <w:sz w:val="24"/>
          <w:szCs w:val="24"/>
        </w:rPr>
      </w:pPr>
      <w:r w:rsidRPr="00CF5029">
        <w:rPr>
          <w:rFonts w:ascii="Times New Roman" w:hAnsi="Times New Roman" w:cs="Times New Roman"/>
          <w:sz w:val="24"/>
          <w:szCs w:val="24"/>
        </w:rPr>
        <w:t xml:space="preserve">Bellier, S. (2000). « Compétence comportementale » appellation non contrôlée. Dans S. Bellier (Éd.), </w:t>
      </w:r>
      <w:r w:rsidRPr="00CF5029">
        <w:rPr>
          <w:rFonts w:ascii="Times New Roman" w:hAnsi="Times New Roman" w:cs="Times New Roman"/>
          <w:i/>
          <w:iCs/>
          <w:sz w:val="24"/>
          <w:szCs w:val="24"/>
        </w:rPr>
        <w:t xml:space="preserve">Compétences en action </w:t>
      </w:r>
      <w:r w:rsidRPr="00CF5029">
        <w:rPr>
          <w:rFonts w:ascii="Times New Roman" w:hAnsi="Times New Roman" w:cs="Times New Roman"/>
          <w:sz w:val="24"/>
          <w:szCs w:val="24"/>
        </w:rPr>
        <w:t xml:space="preserve">(pp. 125-133). </w:t>
      </w:r>
      <w:r w:rsidRPr="00A31C89">
        <w:rPr>
          <w:rFonts w:ascii="Times New Roman" w:hAnsi="Times New Roman" w:cs="Times New Roman"/>
          <w:sz w:val="24"/>
          <w:szCs w:val="24"/>
        </w:rPr>
        <w:t>Paris : Liaisons.</w:t>
      </w:r>
    </w:p>
    <w:p w14:paraId="30EBF58A" w14:textId="77777777" w:rsidR="00A72A46" w:rsidRPr="00FF160A" w:rsidRDefault="00A72A46" w:rsidP="00A72A46">
      <w:pPr>
        <w:spacing w:after="120" w:line="240" w:lineRule="auto"/>
        <w:ind w:left="567" w:hanging="567"/>
        <w:jc w:val="both"/>
        <w:rPr>
          <w:rFonts w:ascii="Times New Roman" w:hAnsi="Times New Roman" w:cs="Times New Roman"/>
          <w:bCs/>
          <w:sz w:val="24"/>
          <w:szCs w:val="24"/>
        </w:rPr>
      </w:pPr>
      <w:r w:rsidRPr="00D85206">
        <w:rPr>
          <w:rFonts w:ascii="Times New Roman" w:hAnsi="Times New Roman" w:cs="Times New Roman"/>
          <w:bCs/>
          <w:sz w:val="24"/>
          <w:szCs w:val="24"/>
          <w:lang w:val="en-CA"/>
        </w:rPr>
        <w:t xml:space="preserve">Boyatzis, R. E. (1982). </w:t>
      </w:r>
      <w:r w:rsidRPr="00D85206">
        <w:rPr>
          <w:rFonts w:ascii="Times New Roman" w:hAnsi="Times New Roman" w:cs="Times New Roman"/>
          <w:bCs/>
          <w:i/>
          <w:iCs/>
          <w:sz w:val="24"/>
          <w:szCs w:val="24"/>
          <w:lang w:val="en-CA"/>
        </w:rPr>
        <w:t xml:space="preserve">The competent </w:t>
      </w:r>
      <w:proofErr w:type="gramStart"/>
      <w:r w:rsidRPr="00D85206">
        <w:rPr>
          <w:rFonts w:ascii="Times New Roman" w:hAnsi="Times New Roman" w:cs="Times New Roman"/>
          <w:bCs/>
          <w:i/>
          <w:iCs/>
          <w:sz w:val="24"/>
          <w:szCs w:val="24"/>
          <w:lang w:val="en-CA"/>
        </w:rPr>
        <w:t>manager :</w:t>
      </w:r>
      <w:proofErr w:type="gramEnd"/>
      <w:r w:rsidRPr="00D85206">
        <w:rPr>
          <w:rFonts w:ascii="Times New Roman" w:hAnsi="Times New Roman" w:cs="Times New Roman"/>
          <w:bCs/>
          <w:i/>
          <w:iCs/>
          <w:sz w:val="24"/>
          <w:szCs w:val="24"/>
          <w:lang w:val="en-CA"/>
        </w:rPr>
        <w:t xml:space="preserve"> a guide for effective management</w:t>
      </w:r>
      <w:r w:rsidRPr="00D85206">
        <w:rPr>
          <w:rFonts w:ascii="Times New Roman" w:hAnsi="Times New Roman" w:cs="Times New Roman"/>
          <w:bCs/>
          <w:sz w:val="24"/>
          <w:szCs w:val="24"/>
          <w:lang w:val="en-CA"/>
        </w:rPr>
        <w:t xml:space="preserve">. </w:t>
      </w:r>
      <w:r w:rsidRPr="00FF160A">
        <w:rPr>
          <w:rFonts w:ascii="Times New Roman" w:hAnsi="Times New Roman" w:cs="Times New Roman"/>
          <w:bCs/>
          <w:sz w:val="24"/>
          <w:szCs w:val="24"/>
        </w:rPr>
        <w:t xml:space="preserve">New York, NY : </w:t>
      </w:r>
      <w:proofErr w:type="spellStart"/>
      <w:r w:rsidRPr="00FF160A">
        <w:rPr>
          <w:rFonts w:ascii="Times New Roman" w:hAnsi="Times New Roman" w:cs="Times New Roman"/>
          <w:bCs/>
          <w:sz w:val="24"/>
          <w:szCs w:val="24"/>
        </w:rPr>
        <w:t>Wiley</w:t>
      </w:r>
      <w:proofErr w:type="spellEnd"/>
      <w:r w:rsidRPr="00FF160A">
        <w:rPr>
          <w:rFonts w:ascii="Times New Roman" w:hAnsi="Times New Roman" w:cs="Times New Roman"/>
          <w:bCs/>
          <w:sz w:val="24"/>
          <w:szCs w:val="24"/>
        </w:rPr>
        <w:t xml:space="preserve">. </w:t>
      </w:r>
    </w:p>
    <w:p w14:paraId="67376F92"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Chartier, A.-M., &amp; Jacquet-Francillon, F. (1998). Éditorial. </w:t>
      </w:r>
      <w:r w:rsidRPr="00EA27FF">
        <w:rPr>
          <w:rFonts w:ascii="Times New Roman" w:hAnsi="Times New Roman" w:cs="Times New Roman"/>
          <w:i/>
          <w:iCs/>
          <w:sz w:val="24"/>
          <w:szCs w:val="24"/>
        </w:rPr>
        <w:t xml:space="preserve">Recherche et formation, </w:t>
      </w:r>
      <w:r w:rsidRPr="00EA27FF">
        <w:rPr>
          <w:rFonts w:ascii="Times New Roman" w:hAnsi="Times New Roman" w:cs="Times New Roman"/>
          <w:sz w:val="24"/>
          <w:szCs w:val="24"/>
        </w:rPr>
        <w:t>(27), 5-14.</w:t>
      </w:r>
    </w:p>
    <w:p w14:paraId="54C015F8"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Clot, Y. (2001). La compétence en cours d’activité. Dans J. Leplat, &amp; M. De Montmollin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Les compétences en ergonomie </w:t>
      </w:r>
      <w:r w:rsidRPr="00EA27FF">
        <w:rPr>
          <w:rFonts w:ascii="Times New Roman" w:hAnsi="Times New Roman" w:cs="Times New Roman"/>
          <w:sz w:val="24"/>
          <w:szCs w:val="24"/>
        </w:rPr>
        <w:t xml:space="preserve">(pp. 81-88). Toulouse : </w:t>
      </w:r>
      <w:proofErr w:type="spellStart"/>
      <w:r w:rsidRPr="00EA27FF">
        <w:rPr>
          <w:rFonts w:ascii="Times New Roman" w:hAnsi="Times New Roman" w:cs="Times New Roman"/>
          <w:sz w:val="24"/>
          <w:szCs w:val="24"/>
        </w:rPr>
        <w:t>Octares</w:t>
      </w:r>
      <w:proofErr w:type="spellEnd"/>
      <w:r w:rsidRPr="00EA27FF">
        <w:rPr>
          <w:rFonts w:ascii="Times New Roman" w:hAnsi="Times New Roman" w:cs="Times New Roman"/>
          <w:sz w:val="24"/>
          <w:szCs w:val="24"/>
        </w:rPr>
        <w:t>.</w:t>
      </w:r>
    </w:p>
    <w:p w14:paraId="6817B471"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Colardyn</w:t>
      </w:r>
      <w:proofErr w:type="spellEnd"/>
      <w:r w:rsidRPr="00EA27FF">
        <w:rPr>
          <w:rFonts w:ascii="Times New Roman" w:hAnsi="Times New Roman" w:cs="Times New Roman"/>
          <w:sz w:val="24"/>
          <w:szCs w:val="24"/>
        </w:rPr>
        <w:t xml:space="preserve">, D. (1998). Compétences et entreprise apprenante. </w:t>
      </w:r>
      <w:r w:rsidRPr="00EA27FF">
        <w:rPr>
          <w:rFonts w:ascii="Times New Roman" w:hAnsi="Times New Roman" w:cs="Times New Roman"/>
          <w:i/>
          <w:iCs/>
          <w:sz w:val="24"/>
          <w:szCs w:val="24"/>
        </w:rPr>
        <w:t xml:space="preserve">Actualité de la formation permanente, </w:t>
      </w:r>
      <w:r w:rsidRPr="00EA27FF">
        <w:rPr>
          <w:rFonts w:ascii="Times New Roman" w:hAnsi="Times New Roman" w:cs="Times New Roman"/>
          <w:sz w:val="24"/>
          <w:szCs w:val="24"/>
        </w:rPr>
        <w:t>(154), 30-34.</w:t>
      </w:r>
    </w:p>
    <w:p w14:paraId="70723BB9"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De </w:t>
      </w:r>
      <w:proofErr w:type="spellStart"/>
      <w:r w:rsidRPr="00EA27FF">
        <w:rPr>
          <w:rFonts w:ascii="Times New Roman" w:hAnsi="Times New Roman" w:cs="Times New Roman"/>
          <w:sz w:val="24"/>
          <w:szCs w:val="24"/>
        </w:rPr>
        <w:t>Ketele</w:t>
      </w:r>
      <w:proofErr w:type="spellEnd"/>
      <w:r w:rsidRPr="00EA27FF">
        <w:rPr>
          <w:rFonts w:ascii="Times New Roman" w:hAnsi="Times New Roman" w:cs="Times New Roman"/>
          <w:sz w:val="24"/>
          <w:szCs w:val="24"/>
        </w:rPr>
        <w:t xml:space="preserve">, J.-M. (2001). Place de la notion de compétence dans l’évaluation des apprentissages. Dans G. Figari, &amp; M. </w:t>
      </w:r>
      <w:proofErr w:type="spellStart"/>
      <w:r w:rsidRPr="00EA27FF">
        <w:rPr>
          <w:rFonts w:ascii="Times New Roman" w:hAnsi="Times New Roman" w:cs="Times New Roman"/>
          <w:sz w:val="24"/>
          <w:szCs w:val="24"/>
        </w:rPr>
        <w:t>Achouche</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L’activité évaluative réinterrogée</w:t>
      </w:r>
      <w:r w:rsidRPr="00EA27FF">
        <w:rPr>
          <w:rFonts w:ascii="Times New Roman" w:hAnsi="Times New Roman" w:cs="Times New Roman"/>
          <w:sz w:val="24"/>
          <w:szCs w:val="24"/>
        </w:rPr>
        <w:t xml:space="preserve"> (pp. 39-43). Bruxelles : De Boeck.</w:t>
      </w:r>
    </w:p>
    <w:p w14:paraId="696A1EE4"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Demailly</w:t>
      </w:r>
      <w:proofErr w:type="spellEnd"/>
      <w:r w:rsidRPr="00EA27FF">
        <w:rPr>
          <w:rFonts w:ascii="Times New Roman" w:hAnsi="Times New Roman" w:cs="Times New Roman"/>
          <w:sz w:val="24"/>
          <w:szCs w:val="24"/>
        </w:rPr>
        <w:t>, L. (1994). Compétence et transformation des groupes professionnels. Dans F.</w:t>
      </w:r>
      <w:r>
        <w:rPr>
          <w:rFonts w:ascii="Times New Roman" w:hAnsi="Times New Roman" w:cs="Times New Roman"/>
          <w:sz w:val="24"/>
          <w:szCs w:val="24"/>
        </w:rPr>
        <w:t> </w:t>
      </w:r>
      <w:r w:rsidRPr="00EA27FF">
        <w:rPr>
          <w:rFonts w:ascii="Times New Roman" w:hAnsi="Times New Roman" w:cs="Times New Roman"/>
          <w:sz w:val="24"/>
          <w:szCs w:val="24"/>
        </w:rPr>
        <w:t>Minet, M. Parlier, &amp; S. D. Witte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La compétence : mythe, construction ou réalité? </w:t>
      </w:r>
      <w:r w:rsidRPr="00EA27FF">
        <w:rPr>
          <w:rFonts w:ascii="Times New Roman" w:hAnsi="Times New Roman" w:cs="Times New Roman"/>
          <w:sz w:val="24"/>
          <w:szCs w:val="24"/>
        </w:rPr>
        <w:t>(pp. 71-90). Paris : L’Harmattan.</w:t>
      </w:r>
    </w:p>
    <w:p w14:paraId="2730063E" w14:textId="77777777" w:rsidR="00A72A46" w:rsidRPr="00D85206"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De Terssac, G. (2001). Compétences et travail : compétences d’explication, d’intervention et d’évaluation. Dans J. Leplat, &amp; M. De Montmollin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Les compétences en ergonomie</w:t>
      </w:r>
      <w:r w:rsidRPr="00EA27FF">
        <w:rPr>
          <w:rFonts w:ascii="Times New Roman" w:hAnsi="Times New Roman" w:cs="Times New Roman"/>
          <w:sz w:val="24"/>
          <w:szCs w:val="24"/>
        </w:rPr>
        <w:t xml:space="preserve"> (pp. 113-119). </w:t>
      </w:r>
      <w:r w:rsidRPr="00D85206">
        <w:rPr>
          <w:rFonts w:ascii="Times New Roman" w:hAnsi="Times New Roman" w:cs="Times New Roman"/>
          <w:sz w:val="24"/>
          <w:szCs w:val="24"/>
        </w:rPr>
        <w:t xml:space="preserve">Toulouse : </w:t>
      </w:r>
      <w:proofErr w:type="spellStart"/>
      <w:r w:rsidRPr="00D85206">
        <w:rPr>
          <w:rFonts w:ascii="Times New Roman" w:hAnsi="Times New Roman" w:cs="Times New Roman"/>
          <w:sz w:val="24"/>
          <w:szCs w:val="24"/>
        </w:rPr>
        <w:t>Octares</w:t>
      </w:r>
      <w:proofErr w:type="spellEnd"/>
      <w:r w:rsidRPr="00D85206">
        <w:rPr>
          <w:rFonts w:ascii="Times New Roman" w:hAnsi="Times New Roman" w:cs="Times New Roman"/>
          <w:sz w:val="24"/>
          <w:szCs w:val="24"/>
        </w:rPr>
        <w:t xml:space="preserve">. </w:t>
      </w:r>
    </w:p>
    <w:p w14:paraId="786C4433"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lastRenderedPageBreak/>
        <w:t>Faingold</w:t>
      </w:r>
      <w:proofErr w:type="spellEnd"/>
      <w:r w:rsidRPr="00EA27FF">
        <w:rPr>
          <w:rFonts w:ascii="Times New Roman" w:hAnsi="Times New Roman" w:cs="Times New Roman"/>
          <w:sz w:val="24"/>
          <w:szCs w:val="24"/>
        </w:rPr>
        <w:t xml:space="preserve">, N. (2001). Du stagiaire à l’expert : construire les compétences professionnelles. Dans L. </w:t>
      </w: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xml:space="preserve">, M. </w:t>
      </w:r>
      <w:proofErr w:type="spellStart"/>
      <w:r w:rsidRPr="00EA27FF">
        <w:rPr>
          <w:rFonts w:ascii="Times New Roman" w:hAnsi="Times New Roman" w:cs="Times New Roman"/>
          <w:sz w:val="24"/>
          <w:szCs w:val="24"/>
        </w:rPr>
        <w:t>Altet</w:t>
      </w:r>
      <w:proofErr w:type="spellEnd"/>
      <w:r w:rsidRPr="00EA27FF">
        <w:rPr>
          <w:rFonts w:ascii="Times New Roman" w:hAnsi="Times New Roman" w:cs="Times New Roman"/>
          <w:sz w:val="24"/>
          <w:szCs w:val="24"/>
        </w:rPr>
        <w:t>, É. Charlier, &amp; P. Perrenoud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Former des enseignants professionnels </w:t>
      </w:r>
      <w:r w:rsidRPr="00EA27FF">
        <w:rPr>
          <w:rFonts w:ascii="Times New Roman" w:hAnsi="Times New Roman" w:cs="Times New Roman"/>
          <w:sz w:val="24"/>
          <w:szCs w:val="24"/>
        </w:rPr>
        <w:t>(3</w:t>
      </w:r>
      <w:r w:rsidRPr="00EA27FF">
        <w:rPr>
          <w:rFonts w:ascii="Times New Roman" w:hAnsi="Times New Roman" w:cs="Times New Roman"/>
          <w:sz w:val="24"/>
          <w:szCs w:val="24"/>
          <w:vertAlign w:val="superscript"/>
        </w:rPr>
        <w:t>e</w:t>
      </w:r>
      <w:r w:rsidRPr="00EA27FF">
        <w:rPr>
          <w:rFonts w:ascii="Times New Roman" w:hAnsi="Times New Roman" w:cs="Times New Roman"/>
          <w:sz w:val="24"/>
          <w:szCs w:val="24"/>
        </w:rPr>
        <w:t> éd., pp. 137-152). Bruxelles : De Boeck.</w:t>
      </w:r>
    </w:p>
    <w:p w14:paraId="6C8143E6" w14:textId="77777777" w:rsidR="00A72A46" w:rsidRPr="00A00699"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Fernagu-Oudet</w:t>
      </w:r>
      <w:proofErr w:type="spellEnd"/>
      <w:r w:rsidRPr="00EA27FF">
        <w:rPr>
          <w:rFonts w:ascii="Times New Roman" w:hAnsi="Times New Roman" w:cs="Times New Roman"/>
          <w:sz w:val="24"/>
          <w:szCs w:val="24"/>
        </w:rPr>
        <w:t xml:space="preserve">, S. (2001). Voyage au cœur de la compétence... ou pour une épistémologie de la pratique. </w:t>
      </w:r>
      <w:r w:rsidRPr="00A00699">
        <w:rPr>
          <w:rFonts w:ascii="Times New Roman" w:hAnsi="Times New Roman" w:cs="Times New Roman"/>
          <w:i/>
          <w:iCs/>
          <w:sz w:val="24"/>
          <w:szCs w:val="24"/>
        </w:rPr>
        <w:t xml:space="preserve">Actualité de la formation permanente, </w:t>
      </w:r>
      <w:r w:rsidRPr="00A00699">
        <w:rPr>
          <w:rFonts w:ascii="Times New Roman" w:hAnsi="Times New Roman" w:cs="Times New Roman"/>
          <w:sz w:val="24"/>
          <w:szCs w:val="24"/>
        </w:rPr>
        <w:t>(170), 8-20.</w:t>
      </w:r>
    </w:p>
    <w:p w14:paraId="3616B3A2" w14:textId="77777777" w:rsidR="00A72A46" w:rsidRPr="00FF160A"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Flück</w:t>
      </w:r>
      <w:proofErr w:type="spellEnd"/>
      <w:r w:rsidRPr="00EA27FF">
        <w:rPr>
          <w:rFonts w:ascii="Times New Roman" w:hAnsi="Times New Roman" w:cs="Times New Roman"/>
          <w:sz w:val="24"/>
          <w:szCs w:val="24"/>
        </w:rPr>
        <w:t xml:space="preserve">, C. (2001). </w:t>
      </w:r>
      <w:r w:rsidRPr="00EA27FF">
        <w:rPr>
          <w:rFonts w:ascii="Times New Roman" w:hAnsi="Times New Roman" w:cs="Times New Roman"/>
          <w:i/>
          <w:sz w:val="24"/>
          <w:szCs w:val="24"/>
        </w:rPr>
        <w:t>Compétences et performances : une alliance réussie</w:t>
      </w:r>
      <w:r w:rsidRPr="00EA27FF">
        <w:rPr>
          <w:rFonts w:ascii="Times New Roman" w:hAnsi="Times New Roman" w:cs="Times New Roman"/>
          <w:sz w:val="24"/>
          <w:szCs w:val="24"/>
        </w:rPr>
        <w:t xml:space="preserve">. </w:t>
      </w:r>
      <w:r w:rsidRPr="00FF160A">
        <w:rPr>
          <w:rFonts w:ascii="Times New Roman" w:hAnsi="Times New Roman" w:cs="Times New Roman"/>
          <w:sz w:val="24"/>
          <w:szCs w:val="24"/>
        </w:rPr>
        <w:t>Paris : Demos.</w:t>
      </w:r>
    </w:p>
    <w:p w14:paraId="1CE54AE5" w14:textId="77777777" w:rsidR="00CF469A" w:rsidRDefault="00A72A46" w:rsidP="00CF469A">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Gilbert, P., &amp; Parlier, M. (1999). La gestion prévisionnelle des emplois et des compétences : enjeux et limites. Dans D. Weiss (Éd.), </w:t>
      </w:r>
      <w:r w:rsidRPr="00EA27FF">
        <w:rPr>
          <w:rFonts w:ascii="Times New Roman" w:hAnsi="Times New Roman" w:cs="Times New Roman"/>
          <w:i/>
          <w:sz w:val="24"/>
          <w:szCs w:val="24"/>
        </w:rPr>
        <w:t xml:space="preserve">Les </w:t>
      </w:r>
      <w:r w:rsidRPr="0012304D">
        <w:rPr>
          <w:rFonts w:ascii="Times New Roman" w:hAnsi="Times New Roman" w:cs="Times New Roman"/>
          <w:i/>
          <w:sz w:val="24"/>
          <w:szCs w:val="24"/>
        </w:rPr>
        <w:t>ressources humaines</w:t>
      </w:r>
      <w:r w:rsidRPr="0012304D">
        <w:rPr>
          <w:rFonts w:ascii="Times New Roman" w:hAnsi="Times New Roman" w:cs="Times New Roman"/>
          <w:sz w:val="24"/>
          <w:szCs w:val="24"/>
        </w:rPr>
        <w:t xml:space="preserve"> (pp. 379-409). Paris : Éditions d’Organisation.</w:t>
      </w:r>
      <w:r>
        <w:rPr>
          <w:rFonts w:ascii="Times New Roman" w:hAnsi="Times New Roman" w:cs="Times New Roman"/>
          <w:sz w:val="24"/>
          <w:szCs w:val="24"/>
        </w:rPr>
        <w:t xml:space="preserve"> </w:t>
      </w:r>
    </w:p>
    <w:p w14:paraId="6C593BC3" w14:textId="625A1B32" w:rsidR="00CF469A" w:rsidRDefault="00CF469A" w:rsidP="00A72A46">
      <w:pPr>
        <w:spacing w:after="120" w:line="240" w:lineRule="auto"/>
        <w:ind w:left="567" w:hanging="567"/>
        <w:jc w:val="both"/>
        <w:rPr>
          <w:rFonts w:ascii="Times New Roman" w:hAnsi="Times New Roman" w:cs="Times New Roman"/>
          <w:sz w:val="24"/>
          <w:szCs w:val="24"/>
        </w:rPr>
      </w:pPr>
      <w:r w:rsidRPr="00CF469A">
        <w:rPr>
          <w:rFonts w:ascii="Times New Roman" w:hAnsi="Times New Roman" w:cs="Times New Roman"/>
          <w:sz w:val="24"/>
          <w:szCs w:val="24"/>
        </w:rPr>
        <w:t xml:space="preserve">Guillemette, F. (2021). L’approche par compétences dans la programmation pédagogique. </w:t>
      </w:r>
      <w:r w:rsidRPr="00CF469A">
        <w:rPr>
          <w:rFonts w:ascii="Times New Roman" w:hAnsi="Times New Roman" w:cs="Times New Roman"/>
          <w:i/>
          <w:sz w:val="24"/>
          <w:szCs w:val="24"/>
        </w:rPr>
        <w:t>Enjeux et société</w:t>
      </w:r>
      <w:r w:rsidRPr="00CF469A">
        <w:rPr>
          <w:rFonts w:ascii="Times New Roman" w:hAnsi="Times New Roman" w:cs="Times New Roman"/>
          <w:sz w:val="24"/>
          <w:szCs w:val="24"/>
        </w:rPr>
        <w:t xml:space="preserve">, </w:t>
      </w:r>
      <w:r w:rsidRPr="00CF469A">
        <w:rPr>
          <w:rFonts w:ascii="Times New Roman" w:hAnsi="Times New Roman" w:cs="Times New Roman"/>
          <w:i/>
          <w:sz w:val="24"/>
          <w:szCs w:val="24"/>
        </w:rPr>
        <w:t>8</w:t>
      </w:r>
      <w:r w:rsidRPr="00CF469A">
        <w:rPr>
          <w:rFonts w:ascii="Times New Roman" w:hAnsi="Times New Roman" w:cs="Times New Roman"/>
          <w:sz w:val="24"/>
          <w:szCs w:val="24"/>
        </w:rPr>
        <w:t xml:space="preserve">(2), 140–169. </w:t>
      </w:r>
      <w:hyperlink r:id="rId15" w:history="1">
        <w:r w:rsidRPr="00EF2A78">
          <w:rPr>
            <w:rStyle w:val="Lienhypertexte"/>
            <w:rFonts w:ascii="Times New Roman" w:hAnsi="Times New Roman" w:cs="Times New Roman"/>
            <w:sz w:val="24"/>
            <w:szCs w:val="24"/>
          </w:rPr>
          <w:t>https://doi.org/10.7202/1078492arv</w:t>
        </w:r>
      </w:hyperlink>
      <w:r>
        <w:rPr>
          <w:rFonts w:ascii="Times New Roman" w:hAnsi="Times New Roman" w:cs="Times New Roman"/>
          <w:sz w:val="24"/>
          <w:szCs w:val="24"/>
        </w:rPr>
        <w:t xml:space="preserve"> </w:t>
      </w:r>
    </w:p>
    <w:p w14:paraId="419140A5" w14:textId="5AEA5F5C" w:rsidR="00A72A46" w:rsidRPr="00EA27FF" w:rsidRDefault="00A72A46" w:rsidP="00A72A46">
      <w:pPr>
        <w:spacing w:after="120" w:line="240" w:lineRule="auto"/>
        <w:ind w:left="567" w:hanging="567"/>
        <w:jc w:val="both"/>
        <w:rPr>
          <w:rFonts w:ascii="Times New Roman" w:hAnsi="Times New Roman" w:cs="Times New Roman"/>
          <w:sz w:val="24"/>
          <w:szCs w:val="24"/>
        </w:rPr>
      </w:pPr>
      <w:r w:rsidRPr="0012304D">
        <w:rPr>
          <w:rFonts w:ascii="Times New Roman" w:hAnsi="Times New Roman" w:cs="Times New Roman"/>
          <w:sz w:val="24"/>
          <w:szCs w:val="24"/>
        </w:rPr>
        <w:t xml:space="preserve">Guillemette, F., &amp; Gauthier, C. (2006). L’approche par compétences (APC) en formation des maîtres : analyse documentaire et critique. </w:t>
      </w:r>
      <w:r w:rsidRPr="0012304D">
        <w:rPr>
          <w:rFonts w:ascii="Times New Roman" w:hAnsi="Times New Roman" w:cs="Times New Roman"/>
          <w:i/>
          <w:sz w:val="24"/>
          <w:szCs w:val="24"/>
        </w:rPr>
        <w:t>Éduquer (</w:t>
      </w:r>
      <w:r w:rsidRPr="00EA27FF">
        <w:rPr>
          <w:rFonts w:ascii="Times New Roman" w:hAnsi="Times New Roman" w:cs="Times New Roman"/>
          <w:i/>
          <w:sz w:val="24"/>
          <w:szCs w:val="24"/>
        </w:rPr>
        <w:t>Cahiers Binet-Simon)</w:t>
      </w:r>
      <w:r w:rsidRPr="00EA27FF">
        <w:rPr>
          <w:rFonts w:ascii="Times New Roman" w:hAnsi="Times New Roman" w:cs="Times New Roman"/>
          <w:sz w:val="24"/>
          <w:szCs w:val="24"/>
        </w:rPr>
        <w:t xml:space="preserve">, (11), 137-179. Repéré à </w:t>
      </w:r>
      <w:hyperlink r:id="rId16" w:history="1">
        <w:r w:rsidRPr="005F5228">
          <w:rPr>
            <w:rStyle w:val="Lienhypertexte"/>
            <w:rFonts w:ascii="Times New Roman" w:hAnsi="Times New Roman" w:cs="Times New Roman"/>
            <w:sz w:val="24"/>
            <w:szCs w:val="24"/>
          </w:rPr>
          <w:t>http://rechercheseducations.revues.org/index84.html</w:t>
        </w:r>
      </w:hyperlink>
      <w:r w:rsidRPr="005F5228">
        <w:t xml:space="preserve"> </w:t>
      </w:r>
    </w:p>
    <w:p w14:paraId="7C69D5E0" w14:textId="3DD9C82D" w:rsidR="00A72A46" w:rsidRPr="00F03D8D"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Jonnaert</w:t>
      </w:r>
      <w:proofErr w:type="spellEnd"/>
      <w:r w:rsidRPr="00EA27FF">
        <w:rPr>
          <w:rFonts w:ascii="Times New Roman" w:hAnsi="Times New Roman" w:cs="Times New Roman"/>
          <w:sz w:val="24"/>
          <w:szCs w:val="24"/>
        </w:rPr>
        <w:t>, P. (</w:t>
      </w:r>
      <w:r w:rsidRPr="00F03D8D">
        <w:rPr>
          <w:rFonts w:ascii="Times New Roman" w:hAnsi="Times New Roman" w:cs="Times New Roman"/>
          <w:sz w:val="24"/>
          <w:szCs w:val="24"/>
        </w:rPr>
        <w:t xml:space="preserve">2002). </w:t>
      </w:r>
      <w:r w:rsidRPr="00F03D8D">
        <w:rPr>
          <w:rFonts w:ascii="Times New Roman" w:hAnsi="Times New Roman" w:cs="Times New Roman"/>
          <w:i/>
          <w:iCs/>
          <w:sz w:val="24"/>
          <w:szCs w:val="24"/>
        </w:rPr>
        <w:t>Compétences et socioconstructivisme. Un cadre théorique</w:t>
      </w:r>
      <w:r w:rsidRPr="00F03D8D">
        <w:rPr>
          <w:rFonts w:ascii="Times New Roman" w:hAnsi="Times New Roman" w:cs="Times New Roman"/>
          <w:sz w:val="24"/>
          <w:szCs w:val="24"/>
        </w:rPr>
        <w:t xml:space="preserve">. Bruxelles : </w:t>
      </w:r>
      <w:proofErr w:type="spellStart"/>
      <w:r w:rsidRPr="00F03D8D">
        <w:rPr>
          <w:rFonts w:ascii="Times New Roman" w:hAnsi="Times New Roman" w:cs="Times New Roman"/>
          <w:sz w:val="24"/>
          <w:szCs w:val="24"/>
        </w:rPr>
        <w:t>DeBoeck</w:t>
      </w:r>
      <w:proofErr w:type="spellEnd"/>
      <w:r w:rsidRPr="00F03D8D">
        <w:rPr>
          <w:rFonts w:ascii="Times New Roman" w:hAnsi="Times New Roman" w:cs="Times New Roman"/>
          <w:sz w:val="24"/>
          <w:szCs w:val="24"/>
        </w:rPr>
        <w:t>.</w:t>
      </w:r>
    </w:p>
    <w:p w14:paraId="66E13E50" w14:textId="15721950" w:rsidR="00F03D8D" w:rsidRPr="00F03D8D" w:rsidRDefault="00F03D8D" w:rsidP="00F03D8D">
      <w:pPr>
        <w:spacing w:after="120" w:line="240" w:lineRule="auto"/>
        <w:ind w:left="567" w:hanging="567"/>
        <w:jc w:val="both"/>
        <w:rPr>
          <w:rFonts w:ascii="Times New Roman" w:hAnsi="Times New Roman" w:cs="Times New Roman"/>
          <w:sz w:val="24"/>
          <w:szCs w:val="24"/>
        </w:rPr>
      </w:pPr>
      <w:r w:rsidRPr="00F03D8D">
        <w:rPr>
          <w:rFonts w:ascii="Times New Roman" w:hAnsi="Times New Roman" w:cs="Times New Roman"/>
          <w:sz w:val="24"/>
          <w:szCs w:val="24"/>
        </w:rPr>
        <w:t xml:space="preserve">Lacasse, M., Renaud, J.-S., </w:t>
      </w:r>
      <w:proofErr w:type="spellStart"/>
      <w:r w:rsidRPr="00F03D8D">
        <w:rPr>
          <w:rFonts w:ascii="Times New Roman" w:hAnsi="Times New Roman" w:cs="Times New Roman"/>
          <w:sz w:val="24"/>
          <w:szCs w:val="24"/>
        </w:rPr>
        <w:t>Cantat</w:t>
      </w:r>
      <w:proofErr w:type="spellEnd"/>
      <w:r w:rsidRPr="00F03D8D">
        <w:rPr>
          <w:rFonts w:ascii="Times New Roman" w:hAnsi="Times New Roman" w:cs="Times New Roman"/>
          <w:sz w:val="24"/>
          <w:szCs w:val="24"/>
        </w:rPr>
        <w:t xml:space="preserve">, A., &amp; Saucier, D. (2016). Développement de compétences avancées dans la formation des futurs médecins : l’exemple de la médecine familiale au Canada. </w:t>
      </w:r>
      <w:r w:rsidRPr="00F03D8D">
        <w:rPr>
          <w:rFonts w:ascii="Times New Roman" w:hAnsi="Times New Roman" w:cs="Times New Roman"/>
          <w:i/>
          <w:sz w:val="24"/>
          <w:szCs w:val="24"/>
        </w:rPr>
        <w:t>Éducation et francophonie</w:t>
      </w:r>
      <w:r w:rsidRPr="00F03D8D">
        <w:rPr>
          <w:rFonts w:ascii="Times New Roman" w:hAnsi="Times New Roman" w:cs="Times New Roman"/>
          <w:sz w:val="24"/>
          <w:szCs w:val="24"/>
        </w:rPr>
        <w:t xml:space="preserve"> </w:t>
      </w:r>
      <w:r w:rsidRPr="00F03D8D">
        <w:rPr>
          <w:rFonts w:ascii="Times New Roman" w:hAnsi="Times New Roman" w:cs="Times New Roman"/>
          <w:i/>
          <w:sz w:val="24"/>
          <w:szCs w:val="24"/>
        </w:rPr>
        <w:t>44</w:t>
      </w:r>
      <w:r w:rsidRPr="00F03D8D">
        <w:rPr>
          <w:rFonts w:ascii="Times New Roman" w:hAnsi="Times New Roman" w:cs="Times New Roman"/>
          <w:sz w:val="24"/>
          <w:szCs w:val="24"/>
        </w:rPr>
        <w:t xml:space="preserve">(2), 126-151.  Repéré à </w:t>
      </w:r>
      <w:hyperlink r:id="rId17" w:history="1">
        <w:r w:rsidRPr="00F03D8D">
          <w:rPr>
            <w:rStyle w:val="Lienhypertexte"/>
            <w:rFonts w:ascii="Times New Roman" w:hAnsi="Times New Roman" w:cs="Times New Roman"/>
            <w:sz w:val="24"/>
            <w:szCs w:val="24"/>
          </w:rPr>
          <w:t>http://doi.org/10.7202/1039025ar</w:t>
        </w:r>
      </w:hyperlink>
    </w:p>
    <w:p w14:paraId="033EEDB6"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D85206">
        <w:rPr>
          <w:rFonts w:ascii="Times New Roman" w:hAnsi="Times New Roman" w:cs="Times New Roman"/>
          <w:sz w:val="24"/>
          <w:szCs w:val="24"/>
        </w:rPr>
        <w:t xml:space="preserve">Laliberté, J., &amp; Dorais, S. (1999). </w:t>
      </w:r>
      <w:r w:rsidRPr="00EA27FF">
        <w:rPr>
          <w:rFonts w:ascii="Times New Roman" w:hAnsi="Times New Roman" w:cs="Times New Roman"/>
          <w:i/>
          <w:sz w:val="24"/>
          <w:szCs w:val="24"/>
        </w:rPr>
        <w:t>Un profil de compétences du personnel enseignant du collégial</w:t>
      </w:r>
      <w:r w:rsidRPr="00EA27FF">
        <w:rPr>
          <w:rFonts w:ascii="Times New Roman" w:hAnsi="Times New Roman" w:cs="Times New Roman"/>
          <w:sz w:val="24"/>
          <w:szCs w:val="24"/>
        </w:rPr>
        <w:t>. Sherbrooke : CRP.</w:t>
      </w:r>
    </w:p>
    <w:p w14:paraId="203211FF"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Le Boterf, G. (1998). Évaluer les compétences, quels jugements? Quels critères? Quelles instances? </w:t>
      </w:r>
      <w:r w:rsidRPr="00EA27FF">
        <w:rPr>
          <w:rFonts w:ascii="Times New Roman" w:hAnsi="Times New Roman" w:cs="Times New Roman"/>
          <w:i/>
          <w:iCs/>
          <w:sz w:val="24"/>
          <w:szCs w:val="24"/>
        </w:rPr>
        <w:t>Éducation permanente,</w:t>
      </w:r>
      <w:r>
        <w:rPr>
          <w:rFonts w:ascii="Times New Roman" w:hAnsi="Times New Roman" w:cs="Times New Roman"/>
          <w:i/>
          <w:iCs/>
          <w:sz w:val="24"/>
          <w:szCs w:val="24"/>
        </w:rPr>
        <w:t xml:space="preserve"> </w:t>
      </w:r>
      <w:r w:rsidRPr="00EA27FF">
        <w:rPr>
          <w:rFonts w:ascii="Times New Roman" w:hAnsi="Times New Roman" w:cs="Times New Roman"/>
          <w:i/>
          <w:sz w:val="24"/>
          <w:szCs w:val="24"/>
        </w:rPr>
        <w:t>135</w:t>
      </w:r>
      <w:r w:rsidRPr="00EA27FF">
        <w:rPr>
          <w:rFonts w:ascii="Times New Roman" w:hAnsi="Times New Roman" w:cs="Times New Roman"/>
          <w:sz w:val="24"/>
          <w:szCs w:val="24"/>
        </w:rPr>
        <w:t>(2), 143-151.</w:t>
      </w:r>
    </w:p>
    <w:p w14:paraId="3BE923E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Le Boterf, G. (1999). De l’ingénierie de la formation à l’ingénierie des compétences. Dans P. Carré, &amp; P. Caspar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Traité des sciences et des techniques de la formation </w:t>
      </w:r>
      <w:r w:rsidRPr="00EA27FF">
        <w:rPr>
          <w:rFonts w:ascii="Times New Roman" w:hAnsi="Times New Roman" w:cs="Times New Roman"/>
          <w:sz w:val="24"/>
          <w:szCs w:val="24"/>
        </w:rPr>
        <w:t>(pp. 335-353). Paris : Dunod.</w:t>
      </w:r>
    </w:p>
    <w:p w14:paraId="7A142618"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Le Boterf, G. (2001). </w:t>
      </w:r>
      <w:r w:rsidRPr="00EA27FF">
        <w:rPr>
          <w:rFonts w:ascii="Times New Roman" w:hAnsi="Times New Roman" w:cs="Times New Roman"/>
          <w:i/>
          <w:sz w:val="24"/>
          <w:szCs w:val="24"/>
        </w:rPr>
        <w:t>Construire les compétences individuelles et collectives</w:t>
      </w:r>
      <w:r w:rsidRPr="00EA27FF">
        <w:rPr>
          <w:rFonts w:ascii="Times New Roman" w:hAnsi="Times New Roman" w:cs="Times New Roman"/>
          <w:sz w:val="24"/>
          <w:szCs w:val="24"/>
        </w:rPr>
        <w:t>. Paris : Éditions d'Organisation</w:t>
      </w:r>
    </w:p>
    <w:p w14:paraId="72064F3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Le Boterf, G. (2018). </w:t>
      </w:r>
      <w:r w:rsidRPr="00EA27FF">
        <w:rPr>
          <w:rFonts w:ascii="Times New Roman" w:hAnsi="Times New Roman" w:cs="Times New Roman"/>
          <w:i/>
          <w:sz w:val="24"/>
          <w:szCs w:val="24"/>
        </w:rPr>
        <w:t>Développer et mettre en œuvre la compétence</w:t>
      </w:r>
      <w:r w:rsidRPr="00EA27FF">
        <w:rPr>
          <w:rFonts w:ascii="Times New Roman" w:hAnsi="Times New Roman" w:cs="Times New Roman"/>
          <w:sz w:val="24"/>
          <w:szCs w:val="24"/>
        </w:rPr>
        <w:t>. Paris : Eyrolles.</w:t>
      </w:r>
    </w:p>
    <w:p w14:paraId="771AE658" w14:textId="77777777" w:rsidR="00A72A46" w:rsidRPr="00EA27FF" w:rsidRDefault="00A72A46" w:rsidP="00A72A46">
      <w:pPr>
        <w:spacing w:after="120" w:line="240" w:lineRule="auto"/>
        <w:ind w:left="567" w:hanging="567"/>
        <w:jc w:val="both"/>
        <w:rPr>
          <w:rFonts w:ascii="Times New Roman" w:hAnsi="Times New Roman" w:cs="Times New Roman"/>
          <w:bCs/>
          <w:sz w:val="24"/>
          <w:szCs w:val="24"/>
        </w:rPr>
      </w:pPr>
      <w:r w:rsidRPr="00EA27FF">
        <w:rPr>
          <w:rFonts w:ascii="Times New Roman" w:hAnsi="Times New Roman" w:cs="Times New Roman"/>
          <w:bCs/>
          <w:sz w:val="24"/>
          <w:szCs w:val="24"/>
        </w:rPr>
        <w:t xml:space="preserve">Lemoine, C. (2002). </w:t>
      </w:r>
      <w:r w:rsidRPr="00EA27FF">
        <w:rPr>
          <w:rFonts w:ascii="Times New Roman" w:hAnsi="Times New Roman" w:cs="Times New Roman"/>
          <w:bCs/>
          <w:i/>
          <w:iCs/>
          <w:sz w:val="24"/>
          <w:szCs w:val="24"/>
        </w:rPr>
        <w:t>Se former au bilan de compétences</w:t>
      </w:r>
      <w:r w:rsidRPr="00EA27FF">
        <w:rPr>
          <w:rFonts w:ascii="Times New Roman" w:hAnsi="Times New Roman" w:cs="Times New Roman"/>
          <w:bCs/>
          <w:sz w:val="24"/>
          <w:szCs w:val="24"/>
        </w:rPr>
        <w:t>. Paris</w:t>
      </w:r>
      <w:r>
        <w:rPr>
          <w:rFonts w:ascii="Times New Roman" w:hAnsi="Times New Roman" w:cs="Times New Roman"/>
          <w:bCs/>
          <w:sz w:val="24"/>
          <w:szCs w:val="24"/>
        </w:rPr>
        <w:t> </w:t>
      </w:r>
      <w:r w:rsidRPr="00EA27FF">
        <w:rPr>
          <w:rFonts w:ascii="Times New Roman" w:hAnsi="Times New Roman" w:cs="Times New Roman"/>
          <w:bCs/>
          <w:sz w:val="24"/>
          <w:szCs w:val="24"/>
        </w:rPr>
        <w:t>: Dunod.</w:t>
      </w:r>
    </w:p>
    <w:p w14:paraId="5E03C2AA" w14:textId="77777777" w:rsidR="00A72A46" w:rsidRPr="005F5228" w:rsidRDefault="00A72A46" w:rsidP="00A72A46">
      <w:pPr>
        <w:spacing w:after="120" w:line="240" w:lineRule="auto"/>
        <w:ind w:left="567" w:hanging="567"/>
        <w:jc w:val="both"/>
        <w:rPr>
          <w:rFonts w:ascii="Times New Roman" w:hAnsi="Times New Roman" w:cs="Times New Roman"/>
          <w:bCs/>
          <w:sz w:val="24"/>
          <w:szCs w:val="24"/>
        </w:rPr>
      </w:pPr>
      <w:r w:rsidRPr="005F5228">
        <w:rPr>
          <w:rFonts w:ascii="Times New Roman" w:hAnsi="Times New Roman" w:cs="Times New Roman"/>
          <w:bCs/>
          <w:sz w:val="24"/>
          <w:szCs w:val="24"/>
        </w:rPr>
        <w:t>Leplat, J. (2001). Compétence et ergonomie. Dans J. Leplat, &amp; M. De Montmollin (</w:t>
      </w:r>
      <w:proofErr w:type="spellStart"/>
      <w:r w:rsidRPr="005F5228">
        <w:rPr>
          <w:rFonts w:ascii="Times New Roman" w:hAnsi="Times New Roman" w:cs="Times New Roman"/>
          <w:bCs/>
          <w:sz w:val="24"/>
          <w:szCs w:val="24"/>
        </w:rPr>
        <w:t>Éds</w:t>
      </w:r>
      <w:proofErr w:type="spellEnd"/>
      <w:r w:rsidRPr="005F5228">
        <w:rPr>
          <w:rFonts w:ascii="Times New Roman" w:hAnsi="Times New Roman" w:cs="Times New Roman"/>
          <w:bCs/>
          <w:sz w:val="24"/>
          <w:szCs w:val="24"/>
        </w:rPr>
        <w:t xml:space="preserve">), </w:t>
      </w:r>
      <w:r w:rsidRPr="005F5228">
        <w:rPr>
          <w:rFonts w:ascii="Times New Roman" w:hAnsi="Times New Roman" w:cs="Times New Roman"/>
          <w:bCs/>
          <w:i/>
          <w:sz w:val="24"/>
          <w:szCs w:val="24"/>
        </w:rPr>
        <w:t>Les compétences en ergonomie</w:t>
      </w:r>
      <w:r w:rsidRPr="005F5228">
        <w:rPr>
          <w:rFonts w:ascii="Times New Roman" w:hAnsi="Times New Roman" w:cs="Times New Roman"/>
          <w:bCs/>
          <w:sz w:val="24"/>
          <w:szCs w:val="24"/>
        </w:rPr>
        <w:t xml:space="preserve"> (pp. 41-53). Toulouse : </w:t>
      </w:r>
      <w:proofErr w:type="spellStart"/>
      <w:r w:rsidRPr="005F5228">
        <w:rPr>
          <w:rFonts w:ascii="Times New Roman" w:hAnsi="Times New Roman" w:cs="Times New Roman"/>
          <w:bCs/>
          <w:sz w:val="24"/>
          <w:szCs w:val="24"/>
        </w:rPr>
        <w:t>Octares</w:t>
      </w:r>
      <w:proofErr w:type="spellEnd"/>
      <w:r w:rsidRPr="005F5228">
        <w:rPr>
          <w:rFonts w:ascii="Times New Roman" w:hAnsi="Times New Roman" w:cs="Times New Roman"/>
          <w:bCs/>
          <w:sz w:val="24"/>
          <w:szCs w:val="24"/>
        </w:rPr>
        <w:t>.</w:t>
      </w:r>
    </w:p>
    <w:p w14:paraId="514FE7F9" w14:textId="77777777" w:rsidR="00A72A46" w:rsidRPr="00EA27FF" w:rsidRDefault="00A72A46" w:rsidP="00A72A46">
      <w:pPr>
        <w:spacing w:after="120" w:line="240" w:lineRule="auto"/>
        <w:ind w:left="567" w:hanging="567"/>
        <w:jc w:val="both"/>
        <w:rPr>
          <w:rFonts w:ascii="Times New Roman" w:hAnsi="Times New Roman" w:cs="Times New Roman"/>
          <w:bCs/>
          <w:sz w:val="24"/>
          <w:szCs w:val="24"/>
        </w:rPr>
      </w:pPr>
      <w:proofErr w:type="spellStart"/>
      <w:r w:rsidRPr="00126C4D">
        <w:rPr>
          <w:rFonts w:ascii="Times New Roman" w:hAnsi="Times New Roman" w:cs="Times New Roman"/>
          <w:bCs/>
          <w:sz w:val="24"/>
          <w:szCs w:val="24"/>
        </w:rPr>
        <w:t>Letor</w:t>
      </w:r>
      <w:proofErr w:type="spellEnd"/>
      <w:r w:rsidRPr="00126C4D">
        <w:rPr>
          <w:rFonts w:ascii="Times New Roman" w:hAnsi="Times New Roman" w:cs="Times New Roman"/>
          <w:bCs/>
          <w:sz w:val="24"/>
          <w:szCs w:val="24"/>
        </w:rPr>
        <w:t xml:space="preserve">, C., &amp; </w:t>
      </w:r>
      <w:proofErr w:type="spellStart"/>
      <w:r w:rsidRPr="00126C4D">
        <w:rPr>
          <w:rFonts w:ascii="Times New Roman" w:hAnsi="Times New Roman" w:cs="Times New Roman"/>
          <w:bCs/>
          <w:sz w:val="24"/>
          <w:szCs w:val="24"/>
        </w:rPr>
        <w:t>Vandenberghe</w:t>
      </w:r>
      <w:proofErr w:type="spellEnd"/>
      <w:r w:rsidRPr="00126C4D">
        <w:rPr>
          <w:rFonts w:ascii="Times New Roman" w:hAnsi="Times New Roman" w:cs="Times New Roman"/>
          <w:bCs/>
          <w:sz w:val="24"/>
          <w:szCs w:val="24"/>
        </w:rPr>
        <w:t>, V. (2003). L’accès aux compétences est-il plus (</w:t>
      </w:r>
      <w:proofErr w:type="spellStart"/>
      <w:r w:rsidRPr="00126C4D">
        <w:rPr>
          <w:rFonts w:ascii="Times New Roman" w:hAnsi="Times New Roman" w:cs="Times New Roman"/>
          <w:bCs/>
          <w:sz w:val="24"/>
          <w:szCs w:val="24"/>
        </w:rPr>
        <w:t>ini</w:t>
      </w:r>
      <w:proofErr w:type="spellEnd"/>
      <w:r w:rsidRPr="00126C4D">
        <w:rPr>
          <w:rFonts w:ascii="Times New Roman" w:hAnsi="Times New Roman" w:cs="Times New Roman"/>
          <w:bCs/>
          <w:sz w:val="24"/>
          <w:szCs w:val="24"/>
        </w:rPr>
        <w:t xml:space="preserve">)équitable que l’accès aux savoirs traditionnels? </w:t>
      </w:r>
      <w:r w:rsidRPr="00126C4D">
        <w:rPr>
          <w:rFonts w:ascii="Times New Roman" w:hAnsi="Times New Roman" w:cs="Times New Roman"/>
          <w:bCs/>
          <w:i/>
          <w:iCs/>
          <w:sz w:val="24"/>
          <w:szCs w:val="24"/>
        </w:rPr>
        <w:t xml:space="preserve">Cahier de Recherche du GIRSEF, </w:t>
      </w:r>
      <w:r w:rsidRPr="00126C4D">
        <w:rPr>
          <w:rFonts w:ascii="Times New Roman" w:hAnsi="Times New Roman" w:cs="Times New Roman"/>
          <w:bCs/>
          <w:iCs/>
          <w:sz w:val="24"/>
          <w:szCs w:val="24"/>
        </w:rPr>
        <w:t>(</w:t>
      </w:r>
      <w:r w:rsidRPr="00126C4D">
        <w:rPr>
          <w:rFonts w:ascii="Times New Roman" w:hAnsi="Times New Roman" w:cs="Times New Roman"/>
          <w:bCs/>
          <w:sz w:val="24"/>
          <w:szCs w:val="24"/>
        </w:rPr>
        <w:t>25), 1-18.</w:t>
      </w:r>
    </w:p>
    <w:p w14:paraId="01830ABC" w14:textId="77777777" w:rsidR="00A72A46" w:rsidRPr="00EA27FF" w:rsidRDefault="00A72A46" w:rsidP="00A72A46">
      <w:pPr>
        <w:spacing w:after="120" w:line="240" w:lineRule="auto"/>
        <w:ind w:left="567" w:hanging="567"/>
        <w:jc w:val="both"/>
        <w:rPr>
          <w:rFonts w:ascii="Times New Roman" w:hAnsi="Times New Roman" w:cs="Times New Roman"/>
          <w:bCs/>
          <w:sz w:val="24"/>
          <w:szCs w:val="24"/>
        </w:rPr>
      </w:pPr>
      <w:r w:rsidRPr="00EA27FF">
        <w:rPr>
          <w:rFonts w:ascii="Times New Roman" w:hAnsi="Times New Roman" w:cs="Times New Roman"/>
          <w:bCs/>
          <w:sz w:val="24"/>
          <w:szCs w:val="24"/>
        </w:rPr>
        <w:t xml:space="preserve">Levy-Leboyer, C. (1996). </w:t>
      </w:r>
      <w:r w:rsidRPr="00EA27FF">
        <w:rPr>
          <w:rFonts w:ascii="Times New Roman" w:hAnsi="Times New Roman" w:cs="Times New Roman"/>
          <w:bCs/>
          <w:i/>
          <w:sz w:val="24"/>
          <w:szCs w:val="24"/>
        </w:rPr>
        <w:t>La gestion des compétences</w:t>
      </w:r>
      <w:r w:rsidRPr="00EA27FF">
        <w:rPr>
          <w:rFonts w:ascii="Times New Roman" w:hAnsi="Times New Roman" w:cs="Times New Roman"/>
          <w:bCs/>
          <w:sz w:val="24"/>
          <w:szCs w:val="24"/>
        </w:rPr>
        <w:t>. Paris : Éditions d’Organisation.</w:t>
      </w:r>
    </w:p>
    <w:p w14:paraId="1B3F8885" w14:textId="66F790D7" w:rsidR="00A72A46" w:rsidRPr="00035126" w:rsidRDefault="00A72A46" w:rsidP="00A72A4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Lichtenberger, Y. (2003). Compétence, compétences. Dans J. Allouche (Éd.), </w:t>
      </w:r>
      <w:r w:rsidRPr="00035126">
        <w:rPr>
          <w:rFonts w:ascii="Times New Roman" w:hAnsi="Times New Roman" w:cs="Times New Roman"/>
          <w:i/>
          <w:sz w:val="24"/>
          <w:szCs w:val="24"/>
        </w:rPr>
        <w:t>Encyclopédie des ressources humaines</w:t>
      </w:r>
      <w:r w:rsidRPr="00035126">
        <w:rPr>
          <w:rFonts w:ascii="Times New Roman" w:hAnsi="Times New Roman" w:cs="Times New Roman"/>
          <w:sz w:val="24"/>
          <w:szCs w:val="24"/>
        </w:rPr>
        <w:t xml:space="preserve"> (pp. 203-215). Paris : </w:t>
      </w:r>
      <w:proofErr w:type="spellStart"/>
      <w:r w:rsidRPr="00035126">
        <w:rPr>
          <w:rFonts w:ascii="Times New Roman" w:hAnsi="Times New Roman" w:cs="Times New Roman"/>
          <w:sz w:val="24"/>
          <w:szCs w:val="24"/>
        </w:rPr>
        <w:t>Vuilbert</w:t>
      </w:r>
      <w:proofErr w:type="spellEnd"/>
      <w:r w:rsidRPr="00035126">
        <w:rPr>
          <w:rFonts w:ascii="Times New Roman" w:hAnsi="Times New Roman" w:cs="Times New Roman"/>
          <w:sz w:val="24"/>
          <w:szCs w:val="24"/>
        </w:rPr>
        <w:t>.</w:t>
      </w:r>
    </w:p>
    <w:p w14:paraId="7921A636" w14:textId="77777777" w:rsidR="00CF469A" w:rsidRDefault="00CF469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EF698B5" w14:textId="4B7596A9" w:rsidR="00E515D6" w:rsidRPr="00035126" w:rsidRDefault="00E515D6" w:rsidP="00E515D6">
      <w:pPr>
        <w:spacing w:after="120" w:line="240" w:lineRule="auto"/>
        <w:ind w:left="567" w:hanging="567"/>
        <w:rPr>
          <w:rFonts w:ascii="Times New Roman" w:hAnsi="Times New Roman" w:cs="Times New Roman"/>
          <w:sz w:val="24"/>
          <w:szCs w:val="24"/>
        </w:rPr>
      </w:pPr>
      <w:r w:rsidRPr="00035126">
        <w:rPr>
          <w:rFonts w:ascii="Times New Roman" w:hAnsi="Times New Roman" w:cs="Times New Roman"/>
          <w:sz w:val="24"/>
          <w:szCs w:val="24"/>
        </w:rPr>
        <w:lastRenderedPageBreak/>
        <w:t xml:space="preserve">Loisy, C. (2014). Variété dans l’évaluation de compétences transversales. Dans C. Loisy, &amp; M. </w:t>
      </w:r>
      <w:proofErr w:type="spellStart"/>
      <w:r w:rsidRPr="00035126">
        <w:rPr>
          <w:rFonts w:ascii="Times New Roman" w:hAnsi="Times New Roman" w:cs="Times New Roman"/>
          <w:sz w:val="24"/>
          <w:szCs w:val="24"/>
        </w:rPr>
        <w:t>Coquide</w:t>
      </w:r>
      <w:proofErr w:type="spellEnd"/>
      <w:r w:rsidRPr="00035126">
        <w:rPr>
          <w:rFonts w:ascii="Times New Roman" w:hAnsi="Times New Roman" w:cs="Times New Roman"/>
          <w:sz w:val="24"/>
          <w:szCs w:val="24"/>
        </w:rPr>
        <w:t xml:space="preserve"> (</w:t>
      </w:r>
      <w:proofErr w:type="spellStart"/>
      <w:r w:rsidRPr="00035126">
        <w:rPr>
          <w:rFonts w:ascii="Times New Roman" w:hAnsi="Times New Roman" w:cs="Times New Roman"/>
          <w:sz w:val="24"/>
          <w:szCs w:val="24"/>
        </w:rPr>
        <w:t>Éds</w:t>
      </w:r>
      <w:proofErr w:type="spellEnd"/>
      <w:r w:rsidRPr="00035126">
        <w:rPr>
          <w:rFonts w:ascii="Times New Roman" w:hAnsi="Times New Roman" w:cs="Times New Roman"/>
          <w:sz w:val="24"/>
          <w:szCs w:val="24"/>
        </w:rPr>
        <w:t xml:space="preserve">), </w:t>
      </w:r>
      <w:r w:rsidRPr="00035126">
        <w:rPr>
          <w:rFonts w:ascii="Times New Roman" w:hAnsi="Times New Roman" w:cs="Times New Roman"/>
          <w:i/>
          <w:sz w:val="24"/>
          <w:szCs w:val="24"/>
        </w:rPr>
        <w:t>Regards croisés sur les référentiels de compétences et leur mise en place</w:t>
      </w:r>
      <w:r w:rsidRPr="00035126">
        <w:rPr>
          <w:rFonts w:ascii="Times New Roman" w:hAnsi="Times New Roman" w:cs="Times New Roman"/>
          <w:sz w:val="24"/>
          <w:szCs w:val="24"/>
        </w:rPr>
        <w:t xml:space="preserve"> (pp. 39-48). Repéré à https://www.academia.edu/15899982/Symposium_Regards_crois%C3%A9s_sur_les_r%C3%A9f%C3%A9rentiels_de_comp%C3%A9tences_et_leur_mise_en_place_24e_Colloque_de_l_ADMEE_Association_pour_le_d%C3%A9veloppement_des_m%C3%A9thodologies_d%C3%A9valuation_en_%C3%A9ducation_Europe_L_%C3%A9valuation_des_comp%C3%A9tences_en_milieu_scolaire_et_en_milieu_professionnel_</w:t>
      </w:r>
    </w:p>
    <w:p w14:paraId="427C7294" w14:textId="554D672A" w:rsidR="00E515D6" w:rsidRPr="00EA27FF" w:rsidRDefault="00E515D6" w:rsidP="00E515D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Martineau, S., &amp; </w:t>
      </w:r>
      <w:r w:rsidRPr="00E515D6">
        <w:rPr>
          <w:rFonts w:ascii="Times New Roman" w:hAnsi="Times New Roman" w:cs="Times New Roman"/>
          <w:sz w:val="24"/>
          <w:szCs w:val="24"/>
        </w:rPr>
        <w:t xml:space="preserve">Gauthier, C. (2000). La place des savoirs dans la construction de </w:t>
      </w:r>
      <w:proofErr w:type="spellStart"/>
      <w:r w:rsidRPr="00E515D6">
        <w:rPr>
          <w:rFonts w:ascii="Times New Roman" w:hAnsi="Times New Roman" w:cs="Times New Roman"/>
          <w:sz w:val="24"/>
          <w:szCs w:val="24"/>
        </w:rPr>
        <w:t>l’id</w:t>
      </w:r>
      <w:proofErr w:type="spellEnd"/>
    </w:p>
    <w:p w14:paraId="38236F30" w14:textId="77777777" w:rsidR="00CF469A" w:rsidRDefault="00A72A46" w:rsidP="00CF469A">
      <w:pPr>
        <w:spacing w:after="120" w:line="240" w:lineRule="auto"/>
        <w:ind w:left="567" w:hanging="567"/>
        <w:jc w:val="both"/>
        <w:rPr>
          <w:rFonts w:ascii="Times New Roman" w:hAnsi="Times New Roman" w:cs="Times New Roman"/>
          <w:sz w:val="24"/>
          <w:szCs w:val="24"/>
        </w:rPr>
      </w:pPr>
      <w:r w:rsidRPr="0012304D">
        <w:rPr>
          <w:rFonts w:ascii="Times New Roman" w:hAnsi="Times New Roman" w:cs="Times New Roman"/>
          <w:sz w:val="24"/>
          <w:szCs w:val="24"/>
        </w:rPr>
        <w:t>Martineau, S., &amp; Gauthier, C. (2000). La place des savoirs dans la construction de l’identité professionnelle collective des enseignants ou</w:t>
      </w:r>
      <w:r w:rsidRPr="00EA27FF">
        <w:rPr>
          <w:rFonts w:ascii="Times New Roman" w:hAnsi="Times New Roman" w:cs="Times New Roman"/>
          <w:sz w:val="24"/>
          <w:szCs w:val="24"/>
        </w:rPr>
        <w:t xml:space="preserve"> le paradoxe de la qualification contre la compétence. Dans C. Gohier, &amp; C. Alin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Enseignant-formateur : la construction de l’identité professionnelle</w:t>
      </w:r>
      <w:r w:rsidRPr="00EA27FF">
        <w:rPr>
          <w:rFonts w:ascii="Times New Roman" w:hAnsi="Times New Roman" w:cs="Times New Roman"/>
          <w:sz w:val="24"/>
          <w:szCs w:val="24"/>
        </w:rPr>
        <w:t xml:space="preserve"> (pp. 85-110). Paris : L’Harmattan. </w:t>
      </w:r>
    </w:p>
    <w:p w14:paraId="457532EE" w14:textId="5904F205" w:rsidR="00CF469A" w:rsidRDefault="00CF469A" w:rsidP="00A72A46">
      <w:pPr>
        <w:spacing w:after="120" w:line="240" w:lineRule="auto"/>
        <w:ind w:left="567" w:hanging="567"/>
        <w:jc w:val="both"/>
        <w:rPr>
          <w:rFonts w:ascii="Times New Roman" w:hAnsi="Times New Roman" w:cs="Times New Roman"/>
          <w:sz w:val="24"/>
          <w:szCs w:val="24"/>
        </w:rPr>
      </w:pPr>
      <w:proofErr w:type="spellStart"/>
      <w:r w:rsidRPr="00CF469A">
        <w:rPr>
          <w:rFonts w:ascii="Times New Roman" w:hAnsi="Times New Roman" w:cs="Times New Roman"/>
          <w:sz w:val="24"/>
          <w:szCs w:val="24"/>
        </w:rPr>
        <w:t>Masciotra</w:t>
      </w:r>
      <w:proofErr w:type="spellEnd"/>
      <w:r w:rsidRPr="00CF469A">
        <w:rPr>
          <w:rFonts w:ascii="Times New Roman" w:hAnsi="Times New Roman" w:cs="Times New Roman"/>
          <w:sz w:val="24"/>
          <w:szCs w:val="24"/>
        </w:rPr>
        <w:t xml:space="preserve">, D. (2010). L’expérience en action : la clé d’une approche dite située. Dans D. </w:t>
      </w:r>
      <w:proofErr w:type="spellStart"/>
      <w:r w:rsidRPr="00CF469A">
        <w:rPr>
          <w:rFonts w:ascii="Times New Roman" w:hAnsi="Times New Roman" w:cs="Times New Roman"/>
          <w:sz w:val="24"/>
          <w:szCs w:val="24"/>
        </w:rPr>
        <w:t>Masciotra</w:t>
      </w:r>
      <w:proofErr w:type="spellEnd"/>
      <w:r w:rsidRPr="00CF469A">
        <w:rPr>
          <w:rFonts w:ascii="Times New Roman" w:hAnsi="Times New Roman" w:cs="Times New Roman"/>
          <w:sz w:val="24"/>
          <w:szCs w:val="24"/>
        </w:rPr>
        <w:t xml:space="preserve">, F. </w:t>
      </w:r>
      <w:proofErr w:type="spellStart"/>
      <w:r w:rsidRPr="00CF469A">
        <w:rPr>
          <w:rFonts w:ascii="Times New Roman" w:hAnsi="Times New Roman" w:cs="Times New Roman"/>
          <w:sz w:val="24"/>
          <w:szCs w:val="24"/>
        </w:rPr>
        <w:t>Medzo</w:t>
      </w:r>
      <w:proofErr w:type="spellEnd"/>
      <w:r w:rsidRPr="00CF469A">
        <w:rPr>
          <w:rFonts w:ascii="Times New Roman" w:hAnsi="Times New Roman" w:cs="Times New Roman"/>
          <w:sz w:val="24"/>
          <w:szCs w:val="24"/>
        </w:rPr>
        <w:t xml:space="preserve">, &amp; P. </w:t>
      </w:r>
      <w:proofErr w:type="spellStart"/>
      <w:r w:rsidRPr="00CF469A">
        <w:rPr>
          <w:rFonts w:ascii="Times New Roman" w:hAnsi="Times New Roman" w:cs="Times New Roman"/>
          <w:sz w:val="24"/>
          <w:szCs w:val="24"/>
        </w:rPr>
        <w:t>Jonnaert</w:t>
      </w:r>
      <w:proofErr w:type="spellEnd"/>
      <w:r w:rsidRPr="00CF469A">
        <w:rPr>
          <w:rFonts w:ascii="Times New Roman" w:hAnsi="Times New Roman" w:cs="Times New Roman"/>
          <w:sz w:val="24"/>
          <w:szCs w:val="24"/>
        </w:rPr>
        <w:t>. (</w:t>
      </w:r>
      <w:proofErr w:type="spellStart"/>
      <w:r w:rsidRPr="00CF469A">
        <w:rPr>
          <w:rFonts w:ascii="Times New Roman" w:hAnsi="Times New Roman" w:cs="Times New Roman"/>
          <w:sz w:val="24"/>
          <w:szCs w:val="24"/>
        </w:rPr>
        <w:t>Dirs</w:t>
      </w:r>
      <w:proofErr w:type="spellEnd"/>
      <w:r w:rsidRPr="00CF469A">
        <w:rPr>
          <w:rFonts w:ascii="Times New Roman" w:hAnsi="Times New Roman" w:cs="Times New Roman"/>
          <w:sz w:val="24"/>
          <w:szCs w:val="24"/>
        </w:rPr>
        <w:t xml:space="preserve">), </w:t>
      </w:r>
      <w:r w:rsidRPr="00CF469A">
        <w:rPr>
          <w:rFonts w:ascii="Times New Roman" w:hAnsi="Times New Roman" w:cs="Times New Roman"/>
          <w:i/>
          <w:sz w:val="24"/>
          <w:szCs w:val="24"/>
        </w:rPr>
        <w:t xml:space="preserve">Vers une approche située en éducation </w:t>
      </w:r>
      <w:r w:rsidRPr="00CF469A">
        <w:rPr>
          <w:rFonts w:ascii="Times New Roman" w:hAnsi="Times New Roman" w:cs="Times New Roman"/>
          <w:sz w:val="24"/>
          <w:szCs w:val="24"/>
        </w:rPr>
        <w:t xml:space="preserve">(pp. 13-30). Cahiers scientifiques de l’ACFAS. Cahier 11. </w:t>
      </w:r>
    </w:p>
    <w:p w14:paraId="12FBE500" w14:textId="5BE6EF3F" w:rsidR="00A72A46" w:rsidRPr="00FF160A"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Masciotra</w:t>
      </w:r>
      <w:proofErr w:type="spellEnd"/>
      <w:r w:rsidRPr="00EA27FF">
        <w:rPr>
          <w:rFonts w:ascii="Times New Roman" w:hAnsi="Times New Roman" w:cs="Times New Roman"/>
          <w:sz w:val="24"/>
          <w:szCs w:val="24"/>
        </w:rPr>
        <w:t xml:space="preserve">, D., &amp; </w:t>
      </w:r>
      <w:proofErr w:type="spellStart"/>
      <w:r w:rsidRPr="00EA27FF">
        <w:rPr>
          <w:rFonts w:ascii="Times New Roman" w:hAnsi="Times New Roman" w:cs="Times New Roman"/>
          <w:sz w:val="24"/>
          <w:szCs w:val="24"/>
        </w:rPr>
        <w:t>Medzo</w:t>
      </w:r>
      <w:proofErr w:type="spellEnd"/>
      <w:r w:rsidRPr="00EA27FF">
        <w:rPr>
          <w:rFonts w:ascii="Times New Roman" w:hAnsi="Times New Roman" w:cs="Times New Roman"/>
          <w:sz w:val="24"/>
          <w:szCs w:val="24"/>
        </w:rPr>
        <w:t xml:space="preserve">, F. (2009). </w:t>
      </w:r>
      <w:r w:rsidRPr="00EA27FF">
        <w:rPr>
          <w:rFonts w:ascii="Times New Roman" w:hAnsi="Times New Roman" w:cs="Times New Roman"/>
          <w:i/>
          <w:sz w:val="24"/>
          <w:szCs w:val="24"/>
        </w:rPr>
        <w:t>Développer un agir compétent</w:t>
      </w:r>
      <w:r w:rsidRPr="00EA27FF">
        <w:rPr>
          <w:rFonts w:ascii="Times New Roman" w:hAnsi="Times New Roman" w:cs="Times New Roman"/>
          <w:sz w:val="24"/>
          <w:szCs w:val="24"/>
        </w:rPr>
        <w:t xml:space="preserve">. </w:t>
      </w:r>
      <w:r w:rsidRPr="00FF160A">
        <w:rPr>
          <w:rFonts w:ascii="Times New Roman" w:hAnsi="Times New Roman" w:cs="Times New Roman"/>
          <w:sz w:val="24"/>
          <w:szCs w:val="24"/>
        </w:rPr>
        <w:t>Bruxelles : De Boeck.</w:t>
      </w:r>
    </w:p>
    <w:p w14:paraId="648CE2FA" w14:textId="4FBB7594" w:rsidR="00A72A46" w:rsidRPr="00035126"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Massot, P., &amp; </w:t>
      </w:r>
      <w:proofErr w:type="spellStart"/>
      <w:r w:rsidRPr="00EA27FF">
        <w:rPr>
          <w:rFonts w:ascii="Times New Roman" w:hAnsi="Times New Roman" w:cs="Times New Roman"/>
          <w:sz w:val="24"/>
          <w:szCs w:val="24"/>
        </w:rPr>
        <w:t>Feisthammel</w:t>
      </w:r>
      <w:proofErr w:type="spellEnd"/>
      <w:r w:rsidRPr="00EA27FF">
        <w:rPr>
          <w:rFonts w:ascii="Times New Roman" w:hAnsi="Times New Roman" w:cs="Times New Roman"/>
          <w:sz w:val="24"/>
          <w:szCs w:val="24"/>
        </w:rPr>
        <w:t>, D. (</w:t>
      </w:r>
      <w:r w:rsidRPr="00035126">
        <w:rPr>
          <w:rFonts w:ascii="Times New Roman" w:hAnsi="Times New Roman" w:cs="Times New Roman"/>
          <w:sz w:val="24"/>
          <w:szCs w:val="24"/>
        </w:rPr>
        <w:t xml:space="preserve">1997). </w:t>
      </w:r>
      <w:r w:rsidRPr="00035126">
        <w:rPr>
          <w:rFonts w:ascii="Times New Roman" w:hAnsi="Times New Roman" w:cs="Times New Roman"/>
          <w:i/>
          <w:sz w:val="24"/>
          <w:szCs w:val="24"/>
        </w:rPr>
        <w:t>Conduites professionnelles, conduites de management. Un outil de développement des compétences</w:t>
      </w:r>
      <w:r w:rsidRPr="00035126">
        <w:rPr>
          <w:rFonts w:ascii="Times New Roman" w:hAnsi="Times New Roman" w:cs="Times New Roman"/>
          <w:sz w:val="24"/>
          <w:szCs w:val="24"/>
        </w:rPr>
        <w:t>. Paris : Liaisons.</w:t>
      </w:r>
    </w:p>
    <w:p w14:paraId="659A8AC7" w14:textId="3486F6F3" w:rsidR="00D34099" w:rsidRPr="00035126" w:rsidRDefault="00D34099" w:rsidP="00D34099">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Mercier-</w:t>
      </w:r>
      <w:proofErr w:type="spellStart"/>
      <w:r w:rsidRPr="00035126">
        <w:rPr>
          <w:rFonts w:ascii="Times New Roman" w:hAnsi="Times New Roman" w:cs="Times New Roman"/>
          <w:sz w:val="24"/>
          <w:szCs w:val="24"/>
        </w:rPr>
        <w:t>Dequidt</w:t>
      </w:r>
      <w:proofErr w:type="spellEnd"/>
      <w:r w:rsidRPr="00035126">
        <w:rPr>
          <w:rFonts w:ascii="Times New Roman" w:hAnsi="Times New Roman" w:cs="Times New Roman"/>
          <w:sz w:val="24"/>
          <w:szCs w:val="24"/>
        </w:rPr>
        <w:t>, C., &amp; Bécu-</w:t>
      </w:r>
      <w:proofErr w:type="spellStart"/>
      <w:r w:rsidRPr="00035126">
        <w:rPr>
          <w:rFonts w:ascii="Times New Roman" w:hAnsi="Times New Roman" w:cs="Times New Roman"/>
          <w:sz w:val="24"/>
          <w:szCs w:val="24"/>
        </w:rPr>
        <w:t>Robinault</w:t>
      </w:r>
      <w:proofErr w:type="spellEnd"/>
      <w:r w:rsidRPr="00035126">
        <w:rPr>
          <w:rFonts w:ascii="Times New Roman" w:hAnsi="Times New Roman" w:cs="Times New Roman"/>
          <w:sz w:val="24"/>
          <w:szCs w:val="24"/>
        </w:rPr>
        <w:t xml:space="preserve">, K. (2014). Des prescriptions officielles sur la validation des compétences à une évaluation formative. Dans C. Loisy, &amp; M. </w:t>
      </w:r>
      <w:proofErr w:type="spellStart"/>
      <w:r w:rsidRPr="00035126">
        <w:rPr>
          <w:rFonts w:ascii="Times New Roman" w:hAnsi="Times New Roman" w:cs="Times New Roman"/>
          <w:sz w:val="24"/>
          <w:szCs w:val="24"/>
        </w:rPr>
        <w:t>Coquide</w:t>
      </w:r>
      <w:proofErr w:type="spellEnd"/>
      <w:r w:rsidRPr="00035126">
        <w:rPr>
          <w:rFonts w:ascii="Times New Roman" w:hAnsi="Times New Roman" w:cs="Times New Roman"/>
          <w:sz w:val="24"/>
          <w:szCs w:val="24"/>
        </w:rPr>
        <w:t xml:space="preserve"> (</w:t>
      </w:r>
      <w:proofErr w:type="spellStart"/>
      <w:r w:rsidRPr="00035126">
        <w:rPr>
          <w:rFonts w:ascii="Times New Roman" w:hAnsi="Times New Roman" w:cs="Times New Roman"/>
          <w:sz w:val="24"/>
          <w:szCs w:val="24"/>
        </w:rPr>
        <w:t>Éds</w:t>
      </w:r>
      <w:proofErr w:type="spellEnd"/>
      <w:r w:rsidRPr="00035126">
        <w:rPr>
          <w:rFonts w:ascii="Times New Roman" w:hAnsi="Times New Roman" w:cs="Times New Roman"/>
          <w:sz w:val="24"/>
          <w:szCs w:val="24"/>
        </w:rPr>
        <w:t xml:space="preserve">), </w:t>
      </w:r>
      <w:r w:rsidRPr="00035126">
        <w:rPr>
          <w:rFonts w:ascii="Times New Roman" w:hAnsi="Times New Roman" w:cs="Times New Roman"/>
          <w:i/>
          <w:sz w:val="24"/>
          <w:szCs w:val="24"/>
        </w:rPr>
        <w:t>Regards croisés sur les référentiels de compétences et leur mise en place</w:t>
      </w:r>
      <w:r w:rsidRPr="00035126">
        <w:rPr>
          <w:rFonts w:ascii="Times New Roman" w:hAnsi="Times New Roman" w:cs="Times New Roman"/>
          <w:sz w:val="24"/>
          <w:szCs w:val="24"/>
        </w:rPr>
        <w:t xml:space="preserve"> (pp. 28-38). Repéré à https://www.academia.edu/15899982/Symposium_Regards_crois%C3%A9s_sur_les_r%C3%A9f%C3%A9rentiels_de_comp%C3%A9tences_et_leur_mise_en_place_24e_Colloque_de_l_ADMEE_Association_pour_le_d%C3%A9veloppement_des_m%C3%A9thodologies_d%C3%A9valuation_en_%C3%A9ducation_Europe_L_%C3%A9valuation_des_comp%C3%A9tences_en_milieu_scolaire_et_en_milieu_professionnel_</w:t>
      </w:r>
    </w:p>
    <w:p w14:paraId="0BEC7095" w14:textId="77777777" w:rsidR="00A72A46" w:rsidRPr="00035126" w:rsidRDefault="00A72A46" w:rsidP="00A72A4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Morier, F. (2001). De la qualité de la formation à la reconnaissance des compétences. </w:t>
      </w:r>
      <w:r w:rsidRPr="00035126">
        <w:rPr>
          <w:rFonts w:ascii="Times New Roman" w:hAnsi="Times New Roman" w:cs="Times New Roman"/>
          <w:i/>
          <w:iCs/>
          <w:sz w:val="24"/>
          <w:szCs w:val="24"/>
        </w:rPr>
        <w:t xml:space="preserve">Education permanente, </w:t>
      </w:r>
      <w:r w:rsidRPr="00035126">
        <w:rPr>
          <w:rFonts w:ascii="Times New Roman" w:hAnsi="Times New Roman" w:cs="Times New Roman"/>
          <w:sz w:val="24"/>
          <w:szCs w:val="24"/>
        </w:rPr>
        <w:t>(147), 151-158.</w:t>
      </w:r>
    </w:p>
    <w:p w14:paraId="08A7BCDA"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L. (2000). Donner du sens à la formation continuée. Dans G. Carlier, J.</w:t>
      </w:r>
      <w:r>
        <w:rPr>
          <w:rFonts w:ascii="Times New Roman" w:hAnsi="Times New Roman" w:cs="Times New Roman"/>
          <w:sz w:val="24"/>
          <w:szCs w:val="24"/>
        </w:rPr>
        <w:noBreakHyphen/>
      </w:r>
      <w:r w:rsidRPr="00EA27FF">
        <w:rPr>
          <w:rFonts w:ascii="Times New Roman" w:hAnsi="Times New Roman" w:cs="Times New Roman"/>
          <w:sz w:val="24"/>
          <w:szCs w:val="24"/>
        </w:rPr>
        <w:t xml:space="preserve">P. Renard, &amp; L. </w:t>
      </w:r>
      <w:proofErr w:type="spellStart"/>
      <w:r w:rsidRPr="00EA27FF">
        <w:rPr>
          <w:rFonts w:ascii="Times New Roman" w:hAnsi="Times New Roman" w:cs="Times New Roman"/>
          <w:sz w:val="24"/>
          <w:szCs w:val="24"/>
        </w:rPr>
        <w:t>Paquay</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iCs/>
          <w:sz w:val="24"/>
          <w:szCs w:val="24"/>
        </w:rPr>
        <w:t xml:space="preserve">La formation continue des enseignants. Enjeux, innovation et réflexivité </w:t>
      </w:r>
      <w:r w:rsidRPr="00EA27FF">
        <w:rPr>
          <w:rFonts w:ascii="Times New Roman" w:hAnsi="Times New Roman" w:cs="Times New Roman"/>
          <w:sz w:val="24"/>
          <w:szCs w:val="24"/>
        </w:rPr>
        <w:t xml:space="preserve">(pp. 263-278). Bruxelles : </w:t>
      </w:r>
      <w:proofErr w:type="spellStart"/>
      <w:r w:rsidRPr="00EA27FF">
        <w:rPr>
          <w:rFonts w:ascii="Times New Roman" w:hAnsi="Times New Roman" w:cs="Times New Roman"/>
          <w:sz w:val="24"/>
          <w:szCs w:val="24"/>
        </w:rPr>
        <w:t>DeBoeck</w:t>
      </w:r>
      <w:proofErr w:type="spellEnd"/>
      <w:r w:rsidRPr="00EA27FF">
        <w:rPr>
          <w:rFonts w:ascii="Times New Roman" w:hAnsi="Times New Roman" w:cs="Times New Roman"/>
          <w:sz w:val="24"/>
          <w:szCs w:val="24"/>
        </w:rPr>
        <w:t>.</w:t>
      </w:r>
    </w:p>
    <w:p w14:paraId="2604BDE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Parlier, M. (1997). Les enjeux et les ambivalences de la gestion des compétences. </w:t>
      </w:r>
      <w:r w:rsidRPr="00EA27FF">
        <w:rPr>
          <w:rFonts w:ascii="Times New Roman" w:hAnsi="Times New Roman" w:cs="Times New Roman"/>
          <w:i/>
          <w:iCs/>
          <w:sz w:val="24"/>
          <w:szCs w:val="24"/>
        </w:rPr>
        <w:t xml:space="preserve">Connexions, </w:t>
      </w:r>
      <w:r w:rsidRPr="00EA27FF">
        <w:rPr>
          <w:rFonts w:ascii="Times New Roman" w:hAnsi="Times New Roman" w:cs="Times New Roman"/>
          <w:i/>
          <w:sz w:val="24"/>
          <w:szCs w:val="24"/>
        </w:rPr>
        <w:t>70</w:t>
      </w:r>
      <w:r w:rsidRPr="00EA27FF">
        <w:rPr>
          <w:rFonts w:ascii="Times New Roman" w:hAnsi="Times New Roman" w:cs="Times New Roman"/>
          <w:sz w:val="24"/>
          <w:szCs w:val="24"/>
        </w:rPr>
        <w:t>(2), 47-65.</w:t>
      </w:r>
    </w:p>
    <w:p w14:paraId="1EF718EC"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Parlier, M. (1999). Stratégies de formation et de développement des compétences dans l’entreprise. Dans D. Weiss (Éd.), </w:t>
      </w:r>
      <w:r w:rsidRPr="00EA27FF">
        <w:rPr>
          <w:rFonts w:ascii="Times New Roman" w:hAnsi="Times New Roman" w:cs="Times New Roman"/>
          <w:i/>
          <w:iCs/>
          <w:sz w:val="24"/>
          <w:szCs w:val="24"/>
        </w:rPr>
        <w:t xml:space="preserve">Les ressources humaines </w:t>
      </w:r>
      <w:r w:rsidRPr="00EA27FF">
        <w:rPr>
          <w:rFonts w:ascii="Times New Roman" w:hAnsi="Times New Roman" w:cs="Times New Roman"/>
          <w:sz w:val="24"/>
          <w:szCs w:val="24"/>
        </w:rPr>
        <w:t>(pp. 413-462). Paris : Éditions d’Organisation.</w:t>
      </w:r>
    </w:p>
    <w:p w14:paraId="0883D7D3"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Pastré, P. (1999). Travail et compétences : un point de vue de didacticien. </w:t>
      </w:r>
      <w:r w:rsidRPr="00EA27FF">
        <w:rPr>
          <w:rFonts w:ascii="Times New Roman" w:hAnsi="Times New Roman" w:cs="Times New Roman"/>
          <w:i/>
          <w:iCs/>
          <w:sz w:val="24"/>
          <w:szCs w:val="24"/>
        </w:rPr>
        <w:t xml:space="preserve">Formation Emploi, </w:t>
      </w:r>
      <w:r w:rsidRPr="00EA27FF">
        <w:rPr>
          <w:rFonts w:ascii="Times New Roman" w:hAnsi="Times New Roman" w:cs="Times New Roman"/>
          <w:sz w:val="24"/>
          <w:szCs w:val="24"/>
        </w:rPr>
        <w:t>(67), 109-125.</w:t>
      </w:r>
    </w:p>
    <w:p w14:paraId="44FB7512"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Perrenoud, P. (2002). D’une métaphore à l’autre : transférer ou mobiliser ses connaissances? Dans J. </w:t>
      </w:r>
      <w:proofErr w:type="spellStart"/>
      <w:r w:rsidRPr="00EA27FF">
        <w:rPr>
          <w:rFonts w:ascii="Times New Roman" w:hAnsi="Times New Roman" w:cs="Times New Roman"/>
          <w:sz w:val="24"/>
          <w:szCs w:val="24"/>
        </w:rPr>
        <w:t>Dolz</w:t>
      </w:r>
      <w:proofErr w:type="spellEnd"/>
      <w:r w:rsidRPr="00EA27FF">
        <w:rPr>
          <w:rFonts w:ascii="Times New Roman" w:hAnsi="Times New Roman" w:cs="Times New Roman"/>
          <w:sz w:val="24"/>
          <w:szCs w:val="24"/>
        </w:rPr>
        <w:t xml:space="preserve">, &amp; E. </w:t>
      </w:r>
      <w:proofErr w:type="spellStart"/>
      <w:r w:rsidRPr="00EA27FF">
        <w:rPr>
          <w:rFonts w:ascii="Times New Roman" w:hAnsi="Times New Roman" w:cs="Times New Roman"/>
          <w:sz w:val="24"/>
          <w:szCs w:val="24"/>
        </w:rPr>
        <w:t>Ollagnier</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L’énigme de la compétence en éducation</w:t>
      </w:r>
      <w:r w:rsidRPr="00EA27FF">
        <w:rPr>
          <w:rFonts w:ascii="Times New Roman" w:hAnsi="Times New Roman" w:cs="Times New Roman"/>
          <w:sz w:val="24"/>
          <w:szCs w:val="24"/>
        </w:rPr>
        <w:t xml:space="preserve"> (pp. 45-60). Bruxelles : De Boeck.</w:t>
      </w:r>
    </w:p>
    <w:p w14:paraId="5E059462" w14:textId="77777777" w:rsidR="00CF469A" w:rsidRDefault="00CF469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8957131" w14:textId="1AF25723" w:rsidR="00A72A46" w:rsidRPr="00035126"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lastRenderedPageBreak/>
        <w:t>Pettersen</w:t>
      </w:r>
      <w:proofErr w:type="spellEnd"/>
      <w:r w:rsidRPr="00EA27FF">
        <w:rPr>
          <w:rFonts w:ascii="Times New Roman" w:hAnsi="Times New Roman" w:cs="Times New Roman"/>
          <w:sz w:val="24"/>
          <w:szCs w:val="24"/>
        </w:rPr>
        <w:t xml:space="preserve">, N., &amp; St-Pierre, J. (2003). Élaboration et validation d’un modèle de compétences. Pour des dirigeants de PME, aux fins de perfectionnement professionnel. Dans N. </w:t>
      </w:r>
      <w:proofErr w:type="spellStart"/>
      <w:r w:rsidRPr="00EA27FF">
        <w:rPr>
          <w:rFonts w:ascii="Times New Roman" w:hAnsi="Times New Roman" w:cs="Times New Roman"/>
          <w:sz w:val="24"/>
          <w:szCs w:val="24"/>
        </w:rPr>
        <w:t>Delobbe</w:t>
      </w:r>
      <w:proofErr w:type="spellEnd"/>
      <w:r w:rsidRPr="00EA27FF">
        <w:rPr>
          <w:rFonts w:ascii="Times New Roman" w:hAnsi="Times New Roman" w:cs="Times New Roman"/>
          <w:sz w:val="24"/>
          <w:szCs w:val="24"/>
        </w:rPr>
        <w:t xml:space="preserve">, G. </w:t>
      </w:r>
      <w:proofErr w:type="spellStart"/>
      <w:r w:rsidRPr="00EA27FF">
        <w:rPr>
          <w:rFonts w:ascii="Times New Roman" w:hAnsi="Times New Roman" w:cs="Times New Roman"/>
          <w:sz w:val="24"/>
          <w:szCs w:val="24"/>
        </w:rPr>
        <w:t>Karnas</w:t>
      </w:r>
      <w:proofErr w:type="spellEnd"/>
      <w:r w:rsidRPr="00EA27FF">
        <w:rPr>
          <w:rFonts w:ascii="Times New Roman" w:hAnsi="Times New Roman" w:cs="Times New Roman"/>
          <w:sz w:val="24"/>
          <w:szCs w:val="24"/>
        </w:rPr>
        <w:t xml:space="preserve">, &amp; C. </w:t>
      </w:r>
      <w:proofErr w:type="spellStart"/>
      <w:r w:rsidRPr="00EA27FF">
        <w:rPr>
          <w:rFonts w:ascii="Times New Roman" w:hAnsi="Times New Roman" w:cs="Times New Roman"/>
          <w:sz w:val="24"/>
          <w:szCs w:val="24"/>
        </w:rPr>
        <w:t>Vanderberghe</w:t>
      </w:r>
      <w:proofErr w:type="spellEnd"/>
      <w:r w:rsidRPr="00EA27FF">
        <w:rPr>
          <w:rFonts w:ascii="Times New Roman" w:hAnsi="Times New Roman" w:cs="Times New Roman"/>
          <w:sz w:val="24"/>
          <w:szCs w:val="24"/>
        </w:rPr>
        <w:t xml:space="preserve">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035126">
        <w:rPr>
          <w:rFonts w:ascii="Times New Roman" w:hAnsi="Times New Roman" w:cs="Times New Roman"/>
          <w:i/>
          <w:sz w:val="24"/>
          <w:szCs w:val="24"/>
        </w:rPr>
        <w:t xml:space="preserve">Évaluation et développement des compétences au travail </w:t>
      </w:r>
      <w:r w:rsidRPr="00035126">
        <w:rPr>
          <w:rFonts w:ascii="Times New Roman" w:hAnsi="Times New Roman" w:cs="Times New Roman"/>
          <w:sz w:val="24"/>
          <w:szCs w:val="24"/>
        </w:rPr>
        <w:t xml:space="preserve">(pp. 73-79). Louvain : Presses universitaires de Louvain. </w:t>
      </w:r>
    </w:p>
    <w:p w14:paraId="7ACA977C" w14:textId="444615B4" w:rsidR="00D34099" w:rsidRPr="00035126" w:rsidRDefault="00D34099" w:rsidP="00D34099">
      <w:pPr>
        <w:spacing w:after="120" w:line="240" w:lineRule="auto"/>
        <w:ind w:left="567" w:hanging="567"/>
        <w:rPr>
          <w:rFonts w:ascii="Times New Roman" w:hAnsi="Times New Roman" w:cs="Times New Roman"/>
          <w:sz w:val="24"/>
          <w:szCs w:val="24"/>
        </w:rPr>
      </w:pPr>
      <w:r w:rsidRPr="00035126">
        <w:rPr>
          <w:rFonts w:ascii="Times New Roman" w:hAnsi="Times New Roman" w:cs="Times New Roman"/>
          <w:sz w:val="24"/>
          <w:szCs w:val="24"/>
        </w:rPr>
        <w:t xml:space="preserve">Prieur, M., </w:t>
      </w:r>
      <w:proofErr w:type="spellStart"/>
      <w:r w:rsidRPr="00035126">
        <w:rPr>
          <w:rFonts w:ascii="Times New Roman" w:hAnsi="Times New Roman" w:cs="Times New Roman"/>
          <w:sz w:val="24"/>
          <w:szCs w:val="24"/>
        </w:rPr>
        <w:t>Aldon</w:t>
      </w:r>
      <w:proofErr w:type="spellEnd"/>
      <w:r w:rsidRPr="00035126">
        <w:rPr>
          <w:rFonts w:ascii="Times New Roman" w:hAnsi="Times New Roman" w:cs="Times New Roman"/>
          <w:sz w:val="24"/>
          <w:szCs w:val="24"/>
        </w:rPr>
        <w:t xml:space="preserve">, G., &amp; Pastor, A. (2014). Appuis et freins à l’évaluation des compétences. Dans C. Loisy, &amp; M. </w:t>
      </w:r>
      <w:proofErr w:type="spellStart"/>
      <w:r w:rsidRPr="00035126">
        <w:rPr>
          <w:rFonts w:ascii="Times New Roman" w:hAnsi="Times New Roman" w:cs="Times New Roman"/>
          <w:sz w:val="24"/>
          <w:szCs w:val="24"/>
        </w:rPr>
        <w:t>Coquide</w:t>
      </w:r>
      <w:proofErr w:type="spellEnd"/>
      <w:r w:rsidRPr="00035126">
        <w:rPr>
          <w:rFonts w:ascii="Times New Roman" w:hAnsi="Times New Roman" w:cs="Times New Roman"/>
          <w:sz w:val="24"/>
          <w:szCs w:val="24"/>
        </w:rPr>
        <w:t xml:space="preserve"> (</w:t>
      </w:r>
      <w:proofErr w:type="spellStart"/>
      <w:r w:rsidRPr="00035126">
        <w:rPr>
          <w:rFonts w:ascii="Times New Roman" w:hAnsi="Times New Roman" w:cs="Times New Roman"/>
          <w:sz w:val="24"/>
          <w:szCs w:val="24"/>
        </w:rPr>
        <w:t>Éds</w:t>
      </w:r>
      <w:proofErr w:type="spellEnd"/>
      <w:r w:rsidRPr="00035126">
        <w:rPr>
          <w:rFonts w:ascii="Times New Roman" w:hAnsi="Times New Roman" w:cs="Times New Roman"/>
          <w:sz w:val="24"/>
          <w:szCs w:val="24"/>
        </w:rPr>
        <w:t xml:space="preserve">), </w:t>
      </w:r>
      <w:r w:rsidRPr="00035126">
        <w:rPr>
          <w:rFonts w:ascii="Times New Roman" w:hAnsi="Times New Roman" w:cs="Times New Roman"/>
          <w:i/>
          <w:sz w:val="24"/>
          <w:szCs w:val="24"/>
        </w:rPr>
        <w:t>Regards croisés sur les référentiels de compétences et leur mise en place</w:t>
      </w:r>
      <w:r w:rsidRPr="00035126">
        <w:rPr>
          <w:rFonts w:ascii="Times New Roman" w:hAnsi="Times New Roman" w:cs="Times New Roman"/>
          <w:sz w:val="24"/>
          <w:szCs w:val="24"/>
        </w:rPr>
        <w:t xml:space="preserve"> (pp. 18-27). Repéré à https://www.academia.edu/15899982/Symposium_Regards_crois%C3%A9s_sur_les_r%C3%A9f%C3%A9rentiels_de_comp%C3%A9tences_et_leur_mise_en_place_24e_Colloque_de_l_ADMEE_Association_pour_le_d%C3%A9veloppement_des_m%C3%A9thodologies_d%C3%A9valuation_en_%C3%A9ducation_Europe_L_%C3%A9valuation_des_comp%C3%A9tences_en_milieu_scolaire_et_en_milieu_professionnel_</w:t>
      </w:r>
    </w:p>
    <w:p w14:paraId="78245ACF"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035126">
        <w:rPr>
          <w:rFonts w:ascii="Times New Roman" w:hAnsi="Times New Roman" w:cs="Times New Roman"/>
          <w:sz w:val="24"/>
          <w:szCs w:val="24"/>
        </w:rPr>
        <w:t xml:space="preserve">Rey, B. (1998). </w:t>
      </w:r>
      <w:r w:rsidRPr="00035126">
        <w:rPr>
          <w:rFonts w:ascii="Times New Roman" w:hAnsi="Times New Roman" w:cs="Times New Roman"/>
          <w:i/>
          <w:sz w:val="24"/>
          <w:szCs w:val="24"/>
        </w:rPr>
        <w:t xml:space="preserve">Les compétences transversales </w:t>
      </w:r>
      <w:r w:rsidRPr="00EA27FF">
        <w:rPr>
          <w:rFonts w:ascii="Times New Roman" w:hAnsi="Times New Roman" w:cs="Times New Roman"/>
          <w:i/>
          <w:sz w:val="24"/>
          <w:szCs w:val="24"/>
        </w:rPr>
        <w:t>en question</w:t>
      </w:r>
      <w:r w:rsidRPr="00EA27FF">
        <w:rPr>
          <w:rFonts w:ascii="Times New Roman" w:hAnsi="Times New Roman" w:cs="Times New Roman"/>
          <w:sz w:val="24"/>
          <w:szCs w:val="24"/>
        </w:rPr>
        <w:t>. Paris : De Boeck.</w:t>
      </w:r>
    </w:p>
    <w:p w14:paraId="25BCBAA0"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Roegiers</w:t>
      </w:r>
      <w:proofErr w:type="spellEnd"/>
      <w:r w:rsidRPr="00EA27FF">
        <w:rPr>
          <w:rFonts w:ascii="Times New Roman" w:hAnsi="Times New Roman" w:cs="Times New Roman"/>
          <w:sz w:val="24"/>
          <w:szCs w:val="24"/>
        </w:rPr>
        <w:t xml:space="preserve">, X. (2000). </w:t>
      </w:r>
      <w:r w:rsidRPr="00EA27FF">
        <w:rPr>
          <w:rFonts w:ascii="Times New Roman" w:hAnsi="Times New Roman" w:cs="Times New Roman"/>
          <w:i/>
          <w:sz w:val="24"/>
          <w:szCs w:val="24"/>
        </w:rPr>
        <w:t>Une pédagogie de l’intégration</w:t>
      </w:r>
      <w:r w:rsidRPr="00EA27FF">
        <w:rPr>
          <w:rFonts w:ascii="Times New Roman" w:hAnsi="Times New Roman" w:cs="Times New Roman"/>
          <w:sz w:val="24"/>
          <w:szCs w:val="24"/>
        </w:rPr>
        <w:t>. Bruxelles : De Boeck.</w:t>
      </w:r>
    </w:p>
    <w:p w14:paraId="545056AE"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Romainville, M. (1996). L’irrésistible ascension du terme « compétence » en éducation… </w:t>
      </w:r>
      <w:r w:rsidRPr="00EA27FF">
        <w:rPr>
          <w:rFonts w:ascii="Times New Roman" w:hAnsi="Times New Roman" w:cs="Times New Roman"/>
          <w:i/>
          <w:sz w:val="24"/>
          <w:szCs w:val="24"/>
        </w:rPr>
        <w:t>Enjeux</w:t>
      </w:r>
      <w:r w:rsidRPr="00EA27FF">
        <w:rPr>
          <w:rFonts w:ascii="Times New Roman" w:hAnsi="Times New Roman" w:cs="Times New Roman"/>
          <w:sz w:val="24"/>
          <w:szCs w:val="24"/>
        </w:rPr>
        <w:t>, (37-38), 132-142.</w:t>
      </w:r>
    </w:p>
    <w:p w14:paraId="291A20C9"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FF160A">
        <w:rPr>
          <w:rFonts w:ascii="Times New Roman" w:hAnsi="Times New Roman" w:cs="Times New Roman"/>
          <w:sz w:val="24"/>
          <w:szCs w:val="24"/>
        </w:rPr>
        <w:t xml:space="preserve">Romainville, M., </w:t>
      </w:r>
      <w:proofErr w:type="spellStart"/>
      <w:r w:rsidRPr="00FF160A">
        <w:rPr>
          <w:rFonts w:ascii="Times New Roman" w:hAnsi="Times New Roman" w:cs="Times New Roman"/>
          <w:sz w:val="24"/>
          <w:szCs w:val="24"/>
        </w:rPr>
        <w:t>Bernaerdt</w:t>
      </w:r>
      <w:proofErr w:type="spellEnd"/>
      <w:r w:rsidRPr="00FF160A">
        <w:rPr>
          <w:rFonts w:ascii="Times New Roman" w:hAnsi="Times New Roman" w:cs="Times New Roman"/>
          <w:sz w:val="24"/>
          <w:szCs w:val="24"/>
        </w:rPr>
        <w:t xml:space="preserve">, G., Delory, Ch., </w:t>
      </w:r>
      <w:proofErr w:type="spellStart"/>
      <w:r w:rsidRPr="00FF160A">
        <w:rPr>
          <w:rFonts w:ascii="Times New Roman" w:hAnsi="Times New Roman" w:cs="Times New Roman"/>
          <w:sz w:val="24"/>
          <w:szCs w:val="24"/>
        </w:rPr>
        <w:t>Genard</w:t>
      </w:r>
      <w:proofErr w:type="spellEnd"/>
      <w:r w:rsidRPr="00FF160A">
        <w:rPr>
          <w:rFonts w:ascii="Times New Roman" w:hAnsi="Times New Roman" w:cs="Times New Roman"/>
          <w:sz w:val="24"/>
          <w:szCs w:val="24"/>
        </w:rPr>
        <w:t xml:space="preserve">, A., Leroy, A., </w:t>
      </w:r>
      <w:proofErr w:type="spellStart"/>
      <w:r w:rsidRPr="00FF160A">
        <w:rPr>
          <w:rFonts w:ascii="Times New Roman" w:hAnsi="Times New Roman" w:cs="Times New Roman"/>
          <w:sz w:val="24"/>
          <w:szCs w:val="24"/>
        </w:rPr>
        <w:t>Paquay</w:t>
      </w:r>
      <w:proofErr w:type="spellEnd"/>
      <w:r w:rsidRPr="00FF160A">
        <w:rPr>
          <w:rFonts w:ascii="Times New Roman" w:hAnsi="Times New Roman" w:cs="Times New Roman"/>
          <w:sz w:val="24"/>
          <w:szCs w:val="24"/>
        </w:rPr>
        <w:t xml:space="preserve">, L., ... </w:t>
      </w:r>
      <w:proofErr w:type="spellStart"/>
      <w:r w:rsidRPr="00D85206">
        <w:rPr>
          <w:rFonts w:ascii="Times New Roman" w:hAnsi="Times New Roman" w:cs="Times New Roman"/>
          <w:sz w:val="24"/>
          <w:szCs w:val="24"/>
        </w:rPr>
        <w:t>Wolfs</w:t>
      </w:r>
      <w:proofErr w:type="spellEnd"/>
      <w:r w:rsidRPr="00D85206">
        <w:rPr>
          <w:rFonts w:ascii="Times New Roman" w:hAnsi="Times New Roman" w:cs="Times New Roman"/>
          <w:sz w:val="24"/>
          <w:szCs w:val="24"/>
        </w:rPr>
        <w:t xml:space="preserve">, J. L. (1997). </w:t>
      </w:r>
      <w:r w:rsidRPr="00EA27FF">
        <w:rPr>
          <w:rFonts w:ascii="Times New Roman" w:hAnsi="Times New Roman" w:cs="Times New Roman"/>
          <w:sz w:val="24"/>
          <w:szCs w:val="24"/>
        </w:rPr>
        <w:t xml:space="preserve">À ceux qui s’interrogent sur les compétences et leur évaluation. </w:t>
      </w:r>
      <w:r w:rsidRPr="00EA27FF">
        <w:rPr>
          <w:rFonts w:ascii="Times New Roman" w:hAnsi="Times New Roman" w:cs="Times New Roman"/>
          <w:i/>
          <w:iCs/>
          <w:sz w:val="24"/>
          <w:szCs w:val="24"/>
        </w:rPr>
        <w:t xml:space="preserve">Forum-Pédagogies, </w:t>
      </w:r>
      <w:r>
        <w:rPr>
          <w:rFonts w:ascii="Times New Roman" w:hAnsi="Times New Roman" w:cs="Times New Roman"/>
          <w:iCs/>
          <w:sz w:val="24"/>
          <w:szCs w:val="24"/>
        </w:rPr>
        <w:t>(</w:t>
      </w:r>
      <w:r w:rsidRPr="00EA27FF">
        <w:rPr>
          <w:rFonts w:ascii="Times New Roman" w:hAnsi="Times New Roman" w:cs="Times New Roman"/>
          <w:sz w:val="24"/>
          <w:szCs w:val="24"/>
        </w:rPr>
        <w:t>14</w:t>
      </w:r>
      <w:r>
        <w:rPr>
          <w:rFonts w:ascii="Times New Roman" w:hAnsi="Times New Roman" w:cs="Times New Roman"/>
          <w:sz w:val="24"/>
          <w:szCs w:val="24"/>
        </w:rPr>
        <w:t>)</w:t>
      </w:r>
      <w:r w:rsidRPr="00EA27FF">
        <w:rPr>
          <w:rFonts w:ascii="Times New Roman" w:hAnsi="Times New Roman" w:cs="Times New Roman"/>
          <w:sz w:val="24"/>
          <w:szCs w:val="24"/>
        </w:rPr>
        <w:t>, 21-27.</w:t>
      </w:r>
    </w:p>
    <w:p w14:paraId="6A68951C" w14:textId="77777777" w:rsidR="00A72A46" w:rsidRPr="00FF160A"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Ropé</w:t>
      </w:r>
      <w:proofErr w:type="spellEnd"/>
      <w:r w:rsidRPr="00EA27FF">
        <w:rPr>
          <w:rFonts w:ascii="Times New Roman" w:hAnsi="Times New Roman" w:cs="Times New Roman"/>
          <w:sz w:val="24"/>
          <w:szCs w:val="24"/>
        </w:rPr>
        <w:t xml:space="preserve">, F. (1996). Objectifs et compétences à l’école et dans le travail. </w:t>
      </w:r>
      <w:r w:rsidRPr="00FF160A">
        <w:rPr>
          <w:rFonts w:ascii="Times New Roman" w:hAnsi="Times New Roman" w:cs="Times New Roman"/>
          <w:i/>
          <w:sz w:val="24"/>
          <w:szCs w:val="24"/>
        </w:rPr>
        <w:t>Les sciences de l’éducation, 29</w:t>
      </w:r>
      <w:r w:rsidRPr="00FF160A">
        <w:rPr>
          <w:rFonts w:ascii="Times New Roman" w:hAnsi="Times New Roman" w:cs="Times New Roman"/>
          <w:sz w:val="24"/>
          <w:szCs w:val="24"/>
        </w:rPr>
        <w:t>(4), 33-58.</w:t>
      </w:r>
    </w:p>
    <w:p w14:paraId="492D480F"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725ADC">
        <w:rPr>
          <w:rFonts w:ascii="Times New Roman" w:hAnsi="Times New Roman" w:cs="Times New Roman"/>
          <w:sz w:val="24"/>
          <w:szCs w:val="24"/>
        </w:rPr>
        <w:t>Ruano-Borbolan</w:t>
      </w:r>
      <w:proofErr w:type="spellEnd"/>
      <w:r w:rsidRPr="00725ADC">
        <w:rPr>
          <w:rFonts w:ascii="Times New Roman" w:hAnsi="Times New Roman" w:cs="Times New Roman"/>
          <w:sz w:val="24"/>
          <w:szCs w:val="24"/>
        </w:rPr>
        <w:t>,</w:t>
      </w:r>
      <w:r w:rsidRPr="00EA27FF">
        <w:rPr>
          <w:rFonts w:ascii="Times New Roman" w:hAnsi="Times New Roman" w:cs="Times New Roman"/>
          <w:sz w:val="24"/>
          <w:szCs w:val="24"/>
        </w:rPr>
        <w:t xml:space="preserve"> J.-C. (2000). Savoir, savoirs. Dans J.-C. </w:t>
      </w:r>
      <w:proofErr w:type="spellStart"/>
      <w:r w:rsidRPr="00EA27FF">
        <w:rPr>
          <w:rFonts w:ascii="Times New Roman" w:hAnsi="Times New Roman" w:cs="Times New Roman"/>
          <w:sz w:val="24"/>
          <w:szCs w:val="24"/>
        </w:rPr>
        <w:t>Ruano-Borbalan</w:t>
      </w:r>
      <w:proofErr w:type="spellEnd"/>
      <w:r w:rsidRPr="00EA27FF">
        <w:rPr>
          <w:rFonts w:ascii="Times New Roman" w:hAnsi="Times New Roman" w:cs="Times New Roman"/>
          <w:sz w:val="24"/>
          <w:szCs w:val="24"/>
        </w:rPr>
        <w:t xml:space="preserve"> (Éd.), </w:t>
      </w:r>
      <w:r w:rsidRPr="00EA27FF">
        <w:rPr>
          <w:rFonts w:ascii="Times New Roman" w:hAnsi="Times New Roman" w:cs="Times New Roman"/>
          <w:i/>
          <w:iCs/>
          <w:sz w:val="24"/>
          <w:szCs w:val="24"/>
        </w:rPr>
        <w:t xml:space="preserve">Savoirs et compétences en éducation, formation et organisation </w:t>
      </w:r>
      <w:r w:rsidRPr="00EA27FF">
        <w:rPr>
          <w:rFonts w:ascii="Times New Roman" w:hAnsi="Times New Roman" w:cs="Times New Roman"/>
          <w:sz w:val="24"/>
          <w:szCs w:val="24"/>
        </w:rPr>
        <w:t>(pp. 7-13). Paris : Demos.</w:t>
      </w:r>
    </w:p>
    <w:p w14:paraId="69324F13"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proofErr w:type="spellStart"/>
      <w:r w:rsidRPr="00EA27FF">
        <w:rPr>
          <w:rFonts w:ascii="Times New Roman" w:hAnsi="Times New Roman" w:cs="Times New Roman"/>
          <w:sz w:val="24"/>
          <w:szCs w:val="24"/>
        </w:rPr>
        <w:t>Schön</w:t>
      </w:r>
      <w:proofErr w:type="spellEnd"/>
      <w:r w:rsidRPr="00EA27FF">
        <w:rPr>
          <w:rFonts w:ascii="Times New Roman" w:hAnsi="Times New Roman" w:cs="Times New Roman"/>
          <w:sz w:val="24"/>
          <w:szCs w:val="24"/>
        </w:rPr>
        <w:t xml:space="preserve">, D. A. (1994). </w:t>
      </w:r>
      <w:r w:rsidRPr="00EA27FF">
        <w:rPr>
          <w:rFonts w:ascii="Times New Roman" w:hAnsi="Times New Roman" w:cs="Times New Roman"/>
          <w:i/>
          <w:sz w:val="24"/>
          <w:szCs w:val="24"/>
        </w:rPr>
        <w:t>Le praticien réflexif</w:t>
      </w:r>
      <w:r w:rsidRPr="00EA27FF">
        <w:rPr>
          <w:rFonts w:ascii="Times New Roman" w:hAnsi="Times New Roman" w:cs="Times New Roman"/>
          <w:sz w:val="24"/>
          <w:szCs w:val="24"/>
        </w:rPr>
        <w:t>. Montréal : Logiques.</w:t>
      </w:r>
    </w:p>
    <w:p w14:paraId="4A106DC2"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Tardif, J. (2006). </w:t>
      </w:r>
      <w:r w:rsidRPr="00EA27FF">
        <w:rPr>
          <w:rFonts w:ascii="Times New Roman" w:hAnsi="Times New Roman" w:cs="Times New Roman"/>
          <w:i/>
          <w:sz w:val="24"/>
          <w:szCs w:val="24"/>
        </w:rPr>
        <w:t>L’évaluation des compétences</w:t>
      </w:r>
      <w:r w:rsidRPr="00EA27FF">
        <w:rPr>
          <w:rFonts w:ascii="Times New Roman" w:hAnsi="Times New Roman" w:cs="Times New Roman"/>
          <w:sz w:val="24"/>
          <w:szCs w:val="24"/>
        </w:rPr>
        <w:t xml:space="preserve">. Montréal : Chenelière. </w:t>
      </w:r>
    </w:p>
    <w:p w14:paraId="734F8DDB"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Tardif, J. (2017). Des repères conceptuels à propos de la notion de compétence, de son développement et de son évaluation. Dans M. </w:t>
      </w:r>
      <w:proofErr w:type="spellStart"/>
      <w:r w:rsidRPr="00EA27FF">
        <w:rPr>
          <w:rFonts w:ascii="Times New Roman" w:hAnsi="Times New Roman" w:cs="Times New Roman"/>
          <w:sz w:val="24"/>
          <w:szCs w:val="24"/>
        </w:rPr>
        <w:t>Poumay</w:t>
      </w:r>
      <w:proofErr w:type="spellEnd"/>
      <w:r w:rsidRPr="00EA27FF">
        <w:rPr>
          <w:rFonts w:ascii="Times New Roman" w:hAnsi="Times New Roman" w:cs="Times New Roman"/>
          <w:sz w:val="24"/>
          <w:szCs w:val="24"/>
        </w:rPr>
        <w:t>, J. Tardif, &amp; F. Georges (</w:t>
      </w:r>
      <w:proofErr w:type="spellStart"/>
      <w:r w:rsidRPr="00EA27FF">
        <w:rPr>
          <w:rFonts w:ascii="Times New Roman" w:hAnsi="Times New Roman" w:cs="Times New Roman"/>
          <w:sz w:val="24"/>
          <w:szCs w:val="24"/>
        </w:rPr>
        <w:t>Éds</w:t>
      </w:r>
      <w:proofErr w:type="spellEnd"/>
      <w:r w:rsidRPr="00EA27FF">
        <w:rPr>
          <w:rFonts w:ascii="Times New Roman" w:hAnsi="Times New Roman" w:cs="Times New Roman"/>
          <w:sz w:val="24"/>
          <w:szCs w:val="24"/>
        </w:rPr>
        <w:t xml:space="preserve">), </w:t>
      </w:r>
      <w:r w:rsidRPr="00EA27FF">
        <w:rPr>
          <w:rFonts w:ascii="Times New Roman" w:hAnsi="Times New Roman" w:cs="Times New Roman"/>
          <w:i/>
          <w:sz w:val="24"/>
          <w:szCs w:val="24"/>
        </w:rPr>
        <w:t>Organiser la formation à partir des compétences</w:t>
      </w:r>
      <w:r w:rsidRPr="00EA27FF">
        <w:rPr>
          <w:rFonts w:ascii="Times New Roman" w:hAnsi="Times New Roman" w:cs="Times New Roman"/>
          <w:sz w:val="24"/>
          <w:szCs w:val="24"/>
        </w:rPr>
        <w:t xml:space="preserve"> (pp. 15-37). Bruxelles : De Boeck.</w:t>
      </w:r>
    </w:p>
    <w:p w14:paraId="4E01F75B" w14:textId="77777777" w:rsidR="00A72A46" w:rsidRPr="00EA27FF" w:rsidRDefault="00A72A46" w:rsidP="00A72A46">
      <w:pPr>
        <w:spacing w:after="120" w:line="240" w:lineRule="auto"/>
        <w:ind w:left="567" w:hanging="567"/>
        <w:jc w:val="both"/>
        <w:rPr>
          <w:rFonts w:ascii="Times New Roman" w:hAnsi="Times New Roman" w:cs="Times New Roman"/>
          <w:sz w:val="24"/>
          <w:szCs w:val="24"/>
        </w:rPr>
      </w:pPr>
      <w:r w:rsidRPr="00EA27FF">
        <w:rPr>
          <w:rFonts w:ascii="Times New Roman" w:hAnsi="Times New Roman" w:cs="Times New Roman"/>
          <w:sz w:val="24"/>
          <w:szCs w:val="24"/>
        </w:rPr>
        <w:t xml:space="preserve">Tardif, J., &amp; Presseau, A. (1998). Quelques contributions de la recherche pour favoriser le transfert des apprentissages. </w:t>
      </w:r>
      <w:r w:rsidRPr="00EA27FF">
        <w:rPr>
          <w:rFonts w:ascii="Times New Roman" w:hAnsi="Times New Roman" w:cs="Times New Roman"/>
          <w:i/>
          <w:sz w:val="24"/>
          <w:szCs w:val="24"/>
        </w:rPr>
        <w:t>Vie pédagogique</w:t>
      </w:r>
      <w:r w:rsidRPr="00EA27FF">
        <w:rPr>
          <w:rFonts w:ascii="Times New Roman" w:hAnsi="Times New Roman" w:cs="Times New Roman"/>
          <w:sz w:val="24"/>
          <w:szCs w:val="24"/>
        </w:rPr>
        <w:t>, (108), 39-44.</w:t>
      </w:r>
    </w:p>
    <w:p w14:paraId="3C7B2E02" w14:textId="77777777" w:rsidR="00A72A46" w:rsidRPr="00EA27FF" w:rsidRDefault="00A72A46" w:rsidP="00A72A46">
      <w:pPr>
        <w:spacing w:after="120" w:line="240" w:lineRule="auto"/>
        <w:ind w:left="567" w:hanging="567"/>
        <w:jc w:val="both"/>
        <w:rPr>
          <w:rFonts w:ascii="Times New Roman" w:hAnsi="Times New Roman" w:cs="Times New Roman"/>
          <w:bCs/>
          <w:iCs/>
          <w:sz w:val="24"/>
          <w:szCs w:val="24"/>
        </w:rPr>
      </w:pPr>
      <w:r w:rsidRPr="00EA27FF">
        <w:rPr>
          <w:rFonts w:ascii="Times New Roman" w:hAnsi="Times New Roman" w:cs="Times New Roman"/>
          <w:bCs/>
          <w:iCs/>
          <w:sz w:val="24"/>
          <w:szCs w:val="24"/>
        </w:rPr>
        <w:t xml:space="preserve">Vergnaud, G. (1996). Au fond de l’action, la conceptualisation. Dans J.-M. Barbier (Éd.), </w:t>
      </w:r>
      <w:r w:rsidRPr="00EA27FF">
        <w:rPr>
          <w:rFonts w:ascii="Times New Roman" w:hAnsi="Times New Roman" w:cs="Times New Roman"/>
          <w:bCs/>
          <w:i/>
          <w:iCs/>
          <w:sz w:val="24"/>
          <w:szCs w:val="24"/>
        </w:rPr>
        <w:t xml:space="preserve">Savoirs théoriques et savoirs d’action </w:t>
      </w:r>
      <w:r w:rsidRPr="00EA27FF">
        <w:rPr>
          <w:rFonts w:ascii="Times New Roman" w:hAnsi="Times New Roman" w:cs="Times New Roman"/>
          <w:bCs/>
          <w:iCs/>
          <w:sz w:val="24"/>
          <w:szCs w:val="24"/>
        </w:rPr>
        <w:t>(pp. 275-292). Paris : Presses universitaires de France.</w:t>
      </w:r>
    </w:p>
    <w:p w14:paraId="5CA0D54C" w14:textId="77777777" w:rsidR="00A72A46" w:rsidRPr="00EA27FF" w:rsidRDefault="00A72A46" w:rsidP="00A72A46">
      <w:pPr>
        <w:spacing w:after="120" w:line="240" w:lineRule="auto"/>
        <w:ind w:left="567" w:hanging="567"/>
        <w:jc w:val="both"/>
        <w:rPr>
          <w:rFonts w:ascii="Times New Roman" w:hAnsi="Times New Roman" w:cs="Times New Roman"/>
          <w:bCs/>
          <w:iCs/>
          <w:sz w:val="24"/>
          <w:szCs w:val="24"/>
        </w:rPr>
      </w:pPr>
      <w:proofErr w:type="spellStart"/>
      <w:r w:rsidRPr="00EA27FF">
        <w:rPr>
          <w:rFonts w:ascii="Times New Roman" w:hAnsi="Times New Roman" w:cs="Times New Roman"/>
          <w:bCs/>
          <w:iCs/>
          <w:sz w:val="24"/>
          <w:szCs w:val="24"/>
        </w:rPr>
        <w:t>Wittorski</w:t>
      </w:r>
      <w:proofErr w:type="spellEnd"/>
      <w:r w:rsidRPr="00EA27FF">
        <w:rPr>
          <w:rFonts w:ascii="Times New Roman" w:hAnsi="Times New Roman" w:cs="Times New Roman"/>
          <w:bCs/>
          <w:iCs/>
          <w:sz w:val="24"/>
          <w:szCs w:val="24"/>
        </w:rPr>
        <w:t xml:space="preserve">, R. (1998). De la fabrication des compétences. </w:t>
      </w:r>
      <w:r w:rsidRPr="00EA27FF">
        <w:rPr>
          <w:rFonts w:ascii="Times New Roman" w:hAnsi="Times New Roman" w:cs="Times New Roman"/>
          <w:bCs/>
          <w:i/>
          <w:iCs/>
          <w:sz w:val="24"/>
          <w:szCs w:val="24"/>
        </w:rPr>
        <w:t>Éducation permanente</w:t>
      </w:r>
      <w:r w:rsidRPr="00EA27FF">
        <w:rPr>
          <w:rFonts w:ascii="Times New Roman" w:hAnsi="Times New Roman" w:cs="Times New Roman"/>
          <w:bCs/>
          <w:iCs/>
          <w:sz w:val="24"/>
          <w:szCs w:val="24"/>
        </w:rPr>
        <w:t xml:space="preserve">, (135), 57-71. </w:t>
      </w:r>
    </w:p>
    <w:p w14:paraId="2123A4E5" w14:textId="77777777" w:rsidR="00A72A46" w:rsidRPr="00EA27FF" w:rsidRDefault="00A72A46" w:rsidP="00A72A46">
      <w:pPr>
        <w:spacing w:after="120" w:line="240" w:lineRule="auto"/>
        <w:ind w:left="567" w:hanging="567"/>
        <w:jc w:val="both"/>
        <w:rPr>
          <w:rFonts w:ascii="Times New Roman" w:hAnsi="Times New Roman" w:cs="Times New Roman"/>
          <w:bCs/>
          <w:iCs/>
          <w:sz w:val="24"/>
          <w:szCs w:val="24"/>
        </w:rPr>
      </w:pPr>
      <w:proofErr w:type="spellStart"/>
      <w:r w:rsidRPr="00EA27FF">
        <w:rPr>
          <w:rFonts w:ascii="Times New Roman" w:hAnsi="Times New Roman" w:cs="Times New Roman"/>
          <w:bCs/>
          <w:iCs/>
          <w:sz w:val="24"/>
          <w:szCs w:val="24"/>
        </w:rPr>
        <w:t>Wittorski</w:t>
      </w:r>
      <w:proofErr w:type="spellEnd"/>
      <w:r w:rsidRPr="00EA27FF">
        <w:rPr>
          <w:rFonts w:ascii="Times New Roman" w:hAnsi="Times New Roman" w:cs="Times New Roman"/>
          <w:bCs/>
          <w:iCs/>
          <w:sz w:val="24"/>
          <w:szCs w:val="24"/>
        </w:rPr>
        <w:t xml:space="preserve">, R. (2000). La production de compétences collectives par et dans l’analyse des pratiques professionnelles. </w:t>
      </w:r>
      <w:r w:rsidRPr="00EA27FF">
        <w:rPr>
          <w:rFonts w:ascii="Times New Roman" w:hAnsi="Times New Roman" w:cs="Times New Roman"/>
          <w:bCs/>
          <w:i/>
          <w:iCs/>
          <w:sz w:val="24"/>
          <w:szCs w:val="24"/>
        </w:rPr>
        <w:t>Psychologie du travail et des organisations, 6</w:t>
      </w:r>
      <w:r w:rsidRPr="00EA27FF">
        <w:rPr>
          <w:rFonts w:ascii="Times New Roman" w:hAnsi="Times New Roman" w:cs="Times New Roman"/>
          <w:bCs/>
          <w:iCs/>
          <w:sz w:val="24"/>
          <w:szCs w:val="24"/>
        </w:rPr>
        <w:t>(3-4), 75-102.</w:t>
      </w:r>
    </w:p>
    <w:p w14:paraId="6F79A853" w14:textId="77777777" w:rsidR="00A72A46" w:rsidRPr="002633AF" w:rsidRDefault="00A72A46" w:rsidP="00A72A46">
      <w:pPr>
        <w:spacing w:after="0" w:line="240" w:lineRule="auto"/>
        <w:rPr>
          <w:rFonts w:ascii="Times New Roman" w:hAnsi="Times New Roman" w:cs="Times New Roman"/>
        </w:rPr>
      </w:pPr>
      <w:r w:rsidRPr="00EA27FF">
        <w:rPr>
          <w:rFonts w:ascii="Times New Roman" w:hAnsi="Times New Roman" w:cs="Times New Roman"/>
          <w:bCs/>
          <w:iCs/>
          <w:sz w:val="24"/>
          <w:szCs w:val="24"/>
        </w:rPr>
        <w:t>Zarifian, P. (2001).</w:t>
      </w:r>
      <w:r w:rsidR="00D85206">
        <w:rPr>
          <w:rFonts w:ascii="Times New Roman" w:hAnsi="Times New Roman" w:cs="Times New Roman"/>
          <w:bCs/>
          <w:iCs/>
          <w:sz w:val="24"/>
          <w:szCs w:val="24"/>
        </w:rPr>
        <w:t xml:space="preserve"> </w:t>
      </w:r>
      <w:r w:rsidR="00D85206" w:rsidRPr="00D85206">
        <w:rPr>
          <w:rFonts w:ascii="Times New Roman" w:hAnsi="Times New Roman" w:cs="Times New Roman"/>
          <w:bCs/>
          <w:i/>
          <w:iCs/>
          <w:sz w:val="24"/>
          <w:szCs w:val="24"/>
        </w:rPr>
        <w:t>Le modèle de la compétence</w:t>
      </w:r>
      <w:r w:rsidR="00D85206" w:rsidRPr="00D85206">
        <w:rPr>
          <w:rFonts w:ascii="Times New Roman" w:hAnsi="Times New Roman" w:cs="Times New Roman"/>
          <w:bCs/>
          <w:iCs/>
          <w:sz w:val="24"/>
          <w:szCs w:val="24"/>
        </w:rPr>
        <w:t>. Paris : Liaisons.</w:t>
      </w:r>
    </w:p>
    <w:sectPr w:rsidR="00A72A46" w:rsidRPr="002633AF" w:rsidSect="00784005">
      <w:footerReference w:type="default" r:id="rId18"/>
      <w:pgSz w:w="12240" w:h="15840" w:code="1"/>
      <w:pgMar w:top="993" w:right="1608" w:bottom="1276"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6A2C" w14:textId="77777777" w:rsidR="0061073B" w:rsidRDefault="0061073B">
      <w:pPr>
        <w:spacing w:after="0" w:line="240" w:lineRule="auto"/>
      </w:pPr>
      <w:r>
        <w:separator/>
      </w:r>
    </w:p>
  </w:endnote>
  <w:endnote w:type="continuationSeparator" w:id="0">
    <w:p w14:paraId="3A26D986" w14:textId="77777777" w:rsidR="0061073B" w:rsidRDefault="0061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11738"/>
      <w:docPartObj>
        <w:docPartGallery w:val="Page Numbers (Bottom of Page)"/>
        <w:docPartUnique/>
      </w:docPartObj>
    </w:sdtPr>
    <w:sdtEndPr/>
    <w:sdtContent>
      <w:p w14:paraId="68DF9841" w14:textId="22970361" w:rsidR="00D54618" w:rsidRDefault="00D54618">
        <w:pPr>
          <w:pStyle w:val="Pieddepage"/>
          <w:jc w:val="center"/>
        </w:pPr>
        <w:r>
          <w:fldChar w:fldCharType="begin"/>
        </w:r>
        <w:r>
          <w:instrText>PAGE   \* MERGEFORMAT</w:instrText>
        </w:r>
        <w:r>
          <w:fldChar w:fldCharType="separate"/>
        </w:r>
        <w:r>
          <w:rPr>
            <w:lang w:val="fr-FR"/>
          </w:rPr>
          <w:t>2</w:t>
        </w:r>
        <w:r>
          <w:fldChar w:fldCharType="end"/>
        </w:r>
      </w:p>
    </w:sdtContent>
  </w:sdt>
  <w:p w14:paraId="7D79D855" w14:textId="77777777" w:rsidR="00643051" w:rsidRPr="001C2492" w:rsidRDefault="00784005">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A1CE" w14:textId="77777777" w:rsidR="0061073B" w:rsidRDefault="0061073B">
      <w:pPr>
        <w:spacing w:after="0" w:line="240" w:lineRule="auto"/>
      </w:pPr>
      <w:r>
        <w:separator/>
      </w:r>
    </w:p>
  </w:footnote>
  <w:footnote w:type="continuationSeparator" w:id="0">
    <w:p w14:paraId="27DFEAA9" w14:textId="77777777" w:rsidR="0061073B" w:rsidRDefault="0061073B">
      <w:pPr>
        <w:spacing w:after="0" w:line="240" w:lineRule="auto"/>
      </w:pPr>
      <w:r>
        <w:continuationSeparator/>
      </w:r>
    </w:p>
  </w:footnote>
  <w:footnote w:id="1">
    <w:p w14:paraId="578888A9" w14:textId="77777777" w:rsidR="00A72A46" w:rsidRPr="003B1DFF" w:rsidRDefault="00A72A46" w:rsidP="00A72A46">
      <w:pPr>
        <w:autoSpaceDE w:val="0"/>
        <w:autoSpaceDN w:val="0"/>
        <w:adjustRightInd w:val="0"/>
        <w:spacing w:after="0" w:line="240" w:lineRule="auto"/>
        <w:rPr>
          <w:rFonts w:ascii="Times New Roman" w:hAnsi="Times New Roman" w:cs="Times New Roman"/>
          <w:sz w:val="20"/>
          <w:szCs w:val="20"/>
        </w:rPr>
      </w:pPr>
      <w:r w:rsidRPr="003B1DFF">
        <w:rPr>
          <w:rStyle w:val="Appelnotedebasdep"/>
          <w:rFonts w:ascii="Times New Roman" w:hAnsi="Times New Roman" w:cs="Times New Roman"/>
          <w:sz w:val="20"/>
          <w:szCs w:val="20"/>
        </w:rPr>
        <w:footnoteRef/>
      </w:r>
      <w:r w:rsidRPr="003B1DFF">
        <w:rPr>
          <w:rFonts w:ascii="Times New Roman" w:hAnsi="Times New Roman" w:cs="Times New Roman"/>
          <w:sz w:val="20"/>
          <w:szCs w:val="20"/>
        </w:rPr>
        <w:t xml:space="preserve"> « L’addition arithmétique des capacités ne fait pas la compétence, pas plus que la juxtaposition des composants ne fait le programme, ni que l’empilage des pièces ne fait la machine. Il doit y avoir nécessairement assemblage, évaluation, ordonnancement, coordination, régulations. Ainsi l’accumulation des savoirs, des capacités, ne garantit pas la compétence, même si elle y participe. » (Massot &amp; Feisthammel, 1997, p.26)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CE"/>
    <w:rsid w:val="00005AC5"/>
    <w:rsid w:val="00034247"/>
    <w:rsid w:val="00035126"/>
    <w:rsid w:val="00041B31"/>
    <w:rsid w:val="0005456F"/>
    <w:rsid w:val="000E1135"/>
    <w:rsid w:val="000F6421"/>
    <w:rsid w:val="001629FA"/>
    <w:rsid w:val="00165D5B"/>
    <w:rsid w:val="00196822"/>
    <w:rsid w:val="001A6307"/>
    <w:rsid w:val="00206003"/>
    <w:rsid w:val="002633AF"/>
    <w:rsid w:val="00267137"/>
    <w:rsid w:val="002A034B"/>
    <w:rsid w:val="002D4B55"/>
    <w:rsid w:val="002D6CE1"/>
    <w:rsid w:val="00336512"/>
    <w:rsid w:val="0037602A"/>
    <w:rsid w:val="00397560"/>
    <w:rsid w:val="003C2097"/>
    <w:rsid w:val="003C792D"/>
    <w:rsid w:val="003F6CE3"/>
    <w:rsid w:val="00434F5D"/>
    <w:rsid w:val="004441EC"/>
    <w:rsid w:val="00460C91"/>
    <w:rsid w:val="004C562F"/>
    <w:rsid w:val="004D4C91"/>
    <w:rsid w:val="004E6F38"/>
    <w:rsid w:val="005216D2"/>
    <w:rsid w:val="00523607"/>
    <w:rsid w:val="00534401"/>
    <w:rsid w:val="00577165"/>
    <w:rsid w:val="00583FCE"/>
    <w:rsid w:val="00586F64"/>
    <w:rsid w:val="005F4BD2"/>
    <w:rsid w:val="00601789"/>
    <w:rsid w:val="0061073B"/>
    <w:rsid w:val="00666E42"/>
    <w:rsid w:val="006716F0"/>
    <w:rsid w:val="00671F97"/>
    <w:rsid w:val="00684DCA"/>
    <w:rsid w:val="006A21AF"/>
    <w:rsid w:val="006D387F"/>
    <w:rsid w:val="006F19F7"/>
    <w:rsid w:val="00734B93"/>
    <w:rsid w:val="00784005"/>
    <w:rsid w:val="007F39F8"/>
    <w:rsid w:val="00800E08"/>
    <w:rsid w:val="00802AC7"/>
    <w:rsid w:val="00845E86"/>
    <w:rsid w:val="00871272"/>
    <w:rsid w:val="008727CF"/>
    <w:rsid w:val="008773F8"/>
    <w:rsid w:val="00883674"/>
    <w:rsid w:val="008854D7"/>
    <w:rsid w:val="008B7BA5"/>
    <w:rsid w:val="00921334"/>
    <w:rsid w:val="0096495B"/>
    <w:rsid w:val="00996DD4"/>
    <w:rsid w:val="009F105E"/>
    <w:rsid w:val="00A00699"/>
    <w:rsid w:val="00A042FD"/>
    <w:rsid w:val="00A31C89"/>
    <w:rsid w:val="00A358F3"/>
    <w:rsid w:val="00A72A46"/>
    <w:rsid w:val="00A74C32"/>
    <w:rsid w:val="00B556D4"/>
    <w:rsid w:val="00B72522"/>
    <w:rsid w:val="00B83B90"/>
    <w:rsid w:val="00B84641"/>
    <w:rsid w:val="00B924CF"/>
    <w:rsid w:val="00B92E96"/>
    <w:rsid w:val="00BA69E0"/>
    <w:rsid w:val="00BB4EAA"/>
    <w:rsid w:val="00C477B0"/>
    <w:rsid w:val="00C57DA3"/>
    <w:rsid w:val="00C97387"/>
    <w:rsid w:val="00CB15C3"/>
    <w:rsid w:val="00CC4652"/>
    <w:rsid w:val="00CF469A"/>
    <w:rsid w:val="00D34099"/>
    <w:rsid w:val="00D54618"/>
    <w:rsid w:val="00D6134C"/>
    <w:rsid w:val="00D85206"/>
    <w:rsid w:val="00D967C3"/>
    <w:rsid w:val="00E515D6"/>
    <w:rsid w:val="00E879BA"/>
    <w:rsid w:val="00EA4994"/>
    <w:rsid w:val="00EB20DE"/>
    <w:rsid w:val="00F03D8D"/>
    <w:rsid w:val="00F06272"/>
    <w:rsid w:val="00F45636"/>
    <w:rsid w:val="00F61D9B"/>
    <w:rsid w:val="00FB5D6C"/>
    <w:rsid w:val="00FB7F3A"/>
    <w:rsid w:val="00FE0DE8"/>
    <w:rsid w:val="00FF16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2327"/>
  <w15:docId w15:val="{66486648-B32F-431C-9DB0-20FE0420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FCE"/>
    <w:pPr>
      <w:spacing w:after="200" w:line="276" w:lineRule="auto"/>
    </w:pPr>
  </w:style>
  <w:style w:type="paragraph" w:styleId="Titre2">
    <w:name w:val="heading 2"/>
    <w:basedOn w:val="Normal"/>
    <w:next w:val="Normal"/>
    <w:link w:val="Titre2Car"/>
    <w:uiPriority w:val="9"/>
    <w:unhideWhenUsed/>
    <w:qFormat/>
    <w:rsid w:val="00583F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3FCE"/>
    <w:rPr>
      <w:rFonts w:asciiTheme="majorHAnsi" w:eastAsiaTheme="majorEastAsia" w:hAnsiTheme="majorHAnsi" w:cstheme="majorBidi"/>
      <w:color w:val="2E74B5" w:themeColor="accent1" w:themeShade="BF"/>
      <w:sz w:val="26"/>
      <w:szCs w:val="26"/>
    </w:rPr>
  </w:style>
  <w:style w:type="paragraph" w:styleId="Pieddepage">
    <w:name w:val="footer"/>
    <w:basedOn w:val="Normal"/>
    <w:link w:val="PieddepageCar"/>
    <w:uiPriority w:val="99"/>
    <w:unhideWhenUsed/>
    <w:rsid w:val="00583F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3FCE"/>
  </w:style>
  <w:style w:type="paragraph" w:styleId="Retraitcorpsdetexte">
    <w:name w:val="Body Text Indent"/>
    <w:basedOn w:val="Normal"/>
    <w:link w:val="RetraitcorpsdetexteCar"/>
    <w:rsid w:val="00583FCE"/>
    <w:pPr>
      <w:spacing w:after="0" w:line="240" w:lineRule="auto"/>
      <w:ind w:firstLine="360"/>
      <w:jc w:val="both"/>
    </w:pPr>
    <w:rPr>
      <w:rFonts w:ascii="Times New Roman" w:eastAsia="Times New Roman" w:hAnsi="Times New Roman" w:cs="Times New Roman"/>
      <w:sz w:val="24"/>
      <w:szCs w:val="20"/>
      <w:lang w:eastAsia="fr-CA"/>
    </w:rPr>
  </w:style>
  <w:style w:type="character" w:customStyle="1" w:styleId="RetraitcorpsdetexteCar">
    <w:name w:val="Retrait corps de texte Car"/>
    <w:basedOn w:val="Policepardfaut"/>
    <w:link w:val="Retraitcorpsdetexte"/>
    <w:rsid w:val="00583FCE"/>
    <w:rPr>
      <w:rFonts w:ascii="Times New Roman" w:eastAsia="Times New Roman" w:hAnsi="Times New Roman" w:cs="Times New Roman"/>
      <w:sz w:val="24"/>
      <w:szCs w:val="20"/>
      <w:lang w:eastAsia="fr-CA"/>
    </w:rPr>
  </w:style>
  <w:style w:type="paragraph" w:styleId="Textedebulles">
    <w:name w:val="Balloon Text"/>
    <w:basedOn w:val="Normal"/>
    <w:link w:val="TextedebullesCar"/>
    <w:uiPriority w:val="99"/>
    <w:semiHidden/>
    <w:unhideWhenUsed/>
    <w:rsid w:val="00F61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B"/>
    <w:rPr>
      <w:rFonts w:ascii="Tahoma" w:hAnsi="Tahoma" w:cs="Tahoma"/>
      <w:sz w:val="16"/>
      <w:szCs w:val="16"/>
    </w:rPr>
  </w:style>
  <w:style w:type="character" w:styleId="Lienhypertexte">
    <w:name w:val="Hyperlink"/>
    <w:basedOn w:val="Policepardfaut"/>
    <w:uiPriority w:val="99"/>
    <w:unhideWhenUsed/>
    <w:rsid w:val="008854D7"/>
    <w:rPr>
      <w:color w:val="0563C1" w:themeColor="hyperlink"/>
      <w:u w:val="single"/>
    </w:rPr>
  </w:style>
  <w:style w:type="character" w:styleId="Appelnotedebasdep">
    <w:name w:val="footnote reference"/>
    <w:basedOn w:val="Policepardfaut"/>
    <w:semiHidden/>
    <w:unhideWhenUsed/>
    <w:rsid w:val="00A72A46"/>
    <w:rPr>
      <w:vertAlign w:val="superscript"/>
    </w:rPr>
  </w:style>
  <w:style w:type="paragraph" w:styleId="En-tte">
    <w:name w:val="header"/>
    <w:basedOn w:val="Normal"/>
    <w:link w:val="En-tteCar"/>
    <w:uiPriority w:val="99"/>
    <w:unhideWhenUsed/>
    <w:rsid w:val="00D54618"/>
    <w:pPr>
      <w:tabs>
        <w:tab w:val="center" w:pos="4320"/>
        <w:tab w:val="right" w:pos="8640"/>
      </w:tabs>
      <w:spacing w:after="0" w:line="240" w:lineRule="auto"/>
    </w:pPr>
  </w:style>
  <w:style w:type="character" w:customStyle="1" w:styleId="En-tteCar">
    <w:name w:val="En-tête Car"/>
    <w:basedOn w:val="Policepardfaut"/>
    <w:link w:val="En-tte"/>
    <w:uiPriority w:val="99"/>
    <w:rsid w:val="00D54618"/>
  </w:style>
  <w:style w:type="character" w:styleId="Mentionnonrsolue">
    <w:name w:val="Unresolved Mention"/>
    <w:basedOn w:val="Policepardfaut"/>
    <w:uiPriority w:val="99"/>
    <w:semiHidden/>
    <w:unhideWhenUsed/>
    <w:rsid w:val="00F03D8D"/>
    <w:rPr>
      <w:color w:val="605E5C"/>
      <w:shd w:val="clear" w:color="auto" w:fill="E1DFDD"/>
    </w:rPr>
  </w:style>
  <w:style w:type="character" w:customStyle="1" w:styleId="hint--top">
    <w:name w:val="hint--top"/>
    <w:basedOn w:val="Policepardfaut"/>
    <w:rsid w:val="00D6134C"/>
  </w:style>
  <w:style w:type="character" w:customStyle="1" w:styleId="clipboard-msg">
    <w:name w:val="clipboard-msg"/>
    <w:basedOn w:val="Policepardfaut"/>
    <w:rsid w:val="00D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reativecommons.org/licenses/by-nc-sa/4.0/" TargetMode="External"/><Relationship Id="rId17" Type="http://schemas.openxmlformats.org/officeDocument/2006/relationships/hyperlink" Target="http://doi.org/10.7202/1039025ar" TargetMode="External"/><Relationship Id="rId2" Type="http://schemas.openxmlformats.org/officeDocument/2006/relationships/customXml" Target="../customXml/item2.xml"/><Relationship Id="rId16" Type="http://schemas.openxmlformats.org/officeDocument/2006/relationships/hyperlink" Target="http://rechercheseducations.revues.org/index8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doi.org/10.7202/1078492ar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echercheseducations.revues.org/index8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4" ma:contentTypeDescription="Crée un document." ma:contentTypeScope="" ma:versionID="e9d14dc597b5266d3819eeac668587b1">
  <xsd:schema xmlns:xsd="http://www.w3.org/2001/XMLSchema" xmlns:xs="http://www.w3.org/2001/XMLSchema" xmlns:p="http://schemas.microsoft.com/office/2006/metadata/properties" xmlns:ns3="369eac23-bca0-48d3-bcb4-98483adacd98" targetNamespace="http://schemas.microsoft.com/office/2006/metadata/properties" ma:root="true" ma:fieldsID="aeda65aab0d5340e4775b66a923817d8"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B09EB-1DA0-444E-8B72-971301BB9717}">
  <ds:schemaRefs>
    <ds:schemaRef ds:uri="http://schemas.microsoft.com/sharepoint/v3/contenttype/forms"/>
  </ds:schemaRefs>
</ds:datastoreItem>
</file>

<file path=customXml/itemProps2.xml><?xml version="1.0" encoding="utf-8"?>
<ds:datastoreItem xmlns:ds="http://schemas.openxmlformats.org/officeDocument/2006/customXml" ds:itemID="{C088B3AD-0277-4E5E-82CF-97860DC8610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8A450120-B576-41AC-BC0A-BDCC25D2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4071</Words>
  <Characters>22394</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Guillemette, François</dc:creator>
  <cp:lastModifiedBy>Guillemette, François</cp:lastModifiedBy>
  <cp:revision>2</cp:revision>
  <cp:lastPrinted>2019-06-10T00:58:00Z</cp:lastPrinted>
  <dcterms:created xsi:type="dcterms:W3CDTF">2023-11-10T05:28:00Z</dcterms:created>
  <dcterms:modified xsi:type="dcterms:W3CDTF">2023-11-10T05:28:00Z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